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6C8B99" w14:textId="2CEDDFAE" w:rsidR="009E4F66" w:rsidRPr="00644F86" w:rsidRDefault="006E6A2C" w:rsidP="009E4F66">
      <w:pPr>
        <w:jc w:val="center"/>
        <w:rPr>
          <w:rFonts w:ascii="Arial" w:hAnsi="Arial" w:cs="Arial"/>
          <w:b/>
          <w:sz w:val="28"/>
          <w:szCs w:val="28"/>
        </w:rPr>
      </w:pPr>
      <w:r w:rsidRPr="00644F86">
        <w:rPr>
          <w:rFonts w:ascii="Arial" w:hAnsi="Arial" w:cs="Arial"/>
          <w:b/>
          <w:sz w:val="28"/>
          <w:szCs w:val="28"/>
        </w:rPr>
        <w:t xml:space="preserve">Dependence of </w:t>
      </w:r>
      <w:r w:rsidR="00F657FD" w:rsidRPr="00644F86">
        <w:rPr>
          <w:rFonts w:ascii="Arial" w:hAnsi="Arial" w:cs="Arial"/>
          <w:b/>
          <w:sz w:val="28"/>
          <w:szCs w:val="28"/>
        </w:rPr>
        <w:t>pulsed electric field and ultrasound</w:t>
      </w:r>
      <w:r w:rsidRPr="00644F86">
        <w:rPr>
          <w:rFonts w:ascii="Arial" w:hAnsi="Arial" w:cs="Arial"/>
          <w:b/>
          <w:sz w:val="28"/>
          <w:szCs w:val="28"/>
        </w:rPr>
        <w:t xml:space="preserve"> pre-treatments on the destruction</w:t>
      </w:r>
      <w:r w:rsidR="009E4F66" w:rsidRPr="00644F86">
        <w:rPr>
          <w:rFonts w:ascii="Arial" w:hAnsi="Arial" w:cs="Arial"/>
          <w:b/>
          <w:sz w:val="28"/>
          <w:szCs w:val="28"/>
        </w:rPr>
        <w:t xml:space="preserve"> of </w:t>
      </w:r>
      <w:r w:rsidR="009E4F66" w:rsidRPr="00644F86">
        <w:rPr>
          <w:rFonts w:ascii="Arial" w:hAnsi="Arial" w:cs="Arial"/>
          <w:b/>
          <w:i/>
          <w:iCs/>
          <w:sz w:val="28"/>
          <w:szCs w:val="28"/>
        </w:rPr>
        <w:t xml:space="preserve">Alicyclobacillus </w:t>
      </w:r>
      <w:proofErr w:type="spellStart"/>
      <w:r w:rsidR="009E4F66" w:rsidRPr="00644F86">
        <w:rPr>
          <w:rFonts w:ascii="Arial" w:hAnsi="Arial" w:cs="Arial"/>
          <w:b/>
          <w:i/>
          <w:iCs/>
          <w:sz w:val="28"/>
          <w:szCs w:val="28"/>
        </w:rPr>
        <w:t>acidoterrestris</w:t>
      </w:r>
      <w:proofErr w:type="spellEnd"/>
      <w:r w:rsidR="009E4F66" w:rsidRPr="00644F86">
        <w:rPr>
          <w:rFonts w:ascii="Arial" w:hAnsi="Arial" w:cs="Arial"/>
          <w:b/>
          <w:sz w:val="28"/>
          <w:szCs w:val="28"/>
        </w:rPr>
        <w:t xml:space="preserve"> spores in apple juice by hyperbaric inactivatio</w:t>
      </w:r>
      <w:r w:rsidR="007F13B3" w:rsidRPr="00644F86">
        <w:rPr>
          <w:rFonts w:ascii="Arial" w:hAnsi="Arial" w:cs="Arial"/>
          <w:b/>
          <w:sz w:val="28"/>
          <w:szCs w:val="28"/>
        </w:rPr>
        <w:t>n</w:t>
      </w:r>
    </w:p>
    <w:p w14:paraId="3CF2AC80" w14:textId="77777777" w:rsidR="000D07B6" w:rsidRPr="00644F86" w:rsidRDefault="000D07B6" w:rsidP="0002443F">
      <w:pPr>
        <w:jc w:val="center"/>
        <w:rPr>
          <w:rFonts w:ascii="Arial" w:hAnsi="Arial" w:cs="Arial"/>
          <w:b/>
          <w:sz w:val="28"/>
          <w:szCs w:val="28"/>
        </w:rPr>
      </w:pPr>
    </w:p>
    <w:p w14:paraId="6004798B" w14:textId="04CF2328" w:rsidR="0002443F" w:rsidRPr="00B54E3D" w:rsidRDefault="00082028" w:rsidP="0002443F">
      <w:pPr>
        <w:jc w:val="center"/>
        <w:rPr>
          <w:rFonts w:ascii="Arial" w:hAnsi="Arial" w:cs="Arial"/>
          <w:sz w:val="20"/>
          <w:u w:val="single"/>
          <w:vertAlign w:val="superscript"/>
          <w:lang w:val="pt-PT"/>
        </w:rPr>
      </w:pPr>
      <w:r w:rsidRPr="00B54E3D">
        <w:rPr>
          <w:rFonts w:ascii="Arial" w:hAnsi="Arial" w:cs="Arial"/>
          <w:sz w:val="20"/>
          <w:u w:val="single"/>
          <w:lang w:val="pt-PT"/>
        </w:rPr>
        <w:t xml:space="preserve">C. </w:t>
      </w:r>
      <w:r w:rsidR="0002443F" w:rsidRPr="00B54E3D">
        <w:rPr>
          <w:rFonts w:ascii="Arial" w:hAnsi="Arial" w:cs="Arial"/>
          <w:sz w:val="20"/>
          <w:u w:val="single"/>
          <w:lang w:val="pt-PT"/>
        </w:rPr>
        <w:t>Pinto</w:t>
      </w:r>
      <w:r w:rsidR="0002443F" w:rsidRPr="00B54E3D">
        <w:rPr>
          <w:rFonts w:ascii="Arial" w:hAnsi="Arial" w:cs="Arial"/>
          <w:sz w:val="20"/>
          <w:u w:val="single"/>
          <w:vertAlign w:val="superscript"/>
          <w:lang w:val="pt-PT"/>
        </w:rPr>
        <w:t>1</w:t>
      </w:r>
      <w:r w:rsidR="002E0ABC" w:rsidRPr="00B54E3D">
        <w:rPr>
          <w:rFonts w:ascii="Arial" w:hAnsi="Arial" w:cs="Arial"/>
          <w:sz w:val="20"/>
          <w:u w:val="single"/>
          <w:vertAlign w:val="superscript"/>
          <w:lang w:val="pt-PT"/>
        </w:rPr>
        <w:t>*</w:t>
      </w:r>
      <w:r w:rsidR="0002443F" w:rsidRPr="00B54E3D">
        <w:rPr>
          <w:rFonts w:ascii="Arial" w:hAnsi="Arial" w:cs="Arial"/>
          <w:sz w:val="20"/>
          <w:lang w:val="pt-PT"/>
        </w:rPr>
        <w:t xml:space="preserve">, </w:t>
      </w:r>
      <w:r w:rsidR="007F13B3" w:rsidRPr="00B54E3D">
        <w:rPr>
          <w:rFonts w:ascii="Arial" w:hAnsi="Arial" w:cs="Arial"/>
          <w:sz w:val="20"/>
          <w:lang w:val="pt-PT"/>
        </w:rPr>
        <w:t>A</w:t>
      </w:r>
      <w:r w:rsidRPr="00B54E3D">
        <w:rPr>
          <w:rFonts w:ascii="Arial" w:hAnsi="Arial" w:cs="Arial"/>
          <w:sz w:val="20"/>
          <w:lang w:val="pt-PT"/>
        </w:rPr>
        <w:t xml:space="preserve">. </w:t>
      </w:r>
      <w:r w:rsidR="007F13B3" w:rsidRPr="00B54E3D">
        <w:rPr>
          <w:rFonts w:ascii="Arial" w:hAnsi="Arial" w:cs="Arial"/>
          <w:sz w:val="20"/>
          <w:lang w:val="pt-PT"/>
        </w:rPr>
        <w:t>Ganjeh</w:t>
      </w:r>
      <w:r w:rsidR="007F13B3" w:rsidRPr="00B54E3D">
        <w:rPr>
          <w:rFonts w:ascii="Arial" w:hAnsi="Arial" w:cs="Arial"/>
          <w:sz w:val="20"/>
          <w:vertAlign w:val="superscript"/>
          <w:lang w:val="pt-PT"/>
        </w:rPr>
        <w:t>1,2</w:t>
      </w:r>
      <w:r w:rsidR="007F13B3" w:rsidRPr="00B54E3D">
        <w:rPr>
          <w:rFonts w:ascii="Arial" w:hAnsi="Arial" w:cs="Arial"/>
          <w:sz w:val="20"/>
          <w:lang w:val="pt-PT"/>
        </w:rPr>
        <w:t xml:space="preserve">, </w:t>
      </w:r>
      <w:r w:rsidR="0002443F" w:rsidRPr="00B54E3D">
        <w:rPr>
          <w:rFonts w:ascii="Arial" w:hAnsi="Arial" w:cs="Arial"/>
          <w:sz w:val="20"/>
          <w:lang w:val="pt-PT"/>
        </w:rPr>
        <w:t>J</w:t>
      </w:r>
      <w:r w:rsidRPr="00B54E3D">
        <w:rPr>
          <w:rFonts w:ascii="Arial" w:hAnsi="Arial" w:cs="Arial"/>
          <w:sz w:val="20"/>
          <w:lang w:val="pt-PT"/>
        </w:rPr>
        <w:t xml:space="preserve">. </w:t>
      </w:r>
      <w:r w:rsidR="0002443F" w:rsidRPr="00B54E3D">
        <w:rPr>
          <w:rFonts w:ascii="Arial" w:hAnsi="Arial" w:cs="Arial"/>
          <w:sz w:val="20"/>
          <w:lang w:val="pt-PT"/>
        </w:rPr>
        <w:t>Saraiva</w:t>
      </w:r>
      <w:r w:rsidR="0002443F" w:rsidRPr="00B54E3D">
        <w:rPr>
          <w:rFonts w:ascii="Arial" w:hAnsi="Arial" w:cs="Arial"/>
          <w:sz w:val="20"/>
          <w:vertAlign w:val="superscript"/>
          <w:lang w:val="pt-PT"/>
        </w:rPr>
        <w:t>1</w:t>
      </w:r>
      <w:r w:rsidR="002E0ABC" w:rsidRPr="00B54E3D">
        <w:rPr>
          <w:rFonts w:ascii="Arial" w:hAnsi="Arial" w:cs="Arial"/>
          <w:sz w:val="20"/>
          <w:vertAlign w:val="superscript"/>
          <w:lang w:val="pt-PT"/>
        </w:rPr>
        <w:t>#</w:t>
      </w:r>
    </w:p>
    <w:p w14:paraId="3135EE78" w14:textId="77777777" w:rsidR="0002443F" w:rsidRPr="00B54E3D" w:rsidRDefault="0002443F" w:rsidP="0002443F">
      <w:pPr>
        <w:jc w:val="center"/>
        <w:rPr>
          <w:rFonts w:ascii="Arial" w:hAnsi="Arial" w:cs="Arial"/>
          <w:sz w:val="20"/>
          <w:u w:val="single"/>
          <w:lang w:val="pt-PT"/>
        </w:rPr>
      </w:pPr>
    </w:p>
    <w:p w14:paraId="1C593901" w14:textId="1CAB0B12" w:rsidR="0002443F" w:rsidRPr="00644F86" w:rsidRDefault="0002443F" w:rsidP="0002443F">
      <w:pPr>
        <w:jc w:val="center"/>
        <w:rPr>
          <w:rFonts w:ascii="Arial" w:hAnsi="Arial" w:cs="Arial"/>
          <w:i/>
          <w:sz w:val="18"/>
          <w:szCs w:val="18"/>
        </w:rPr>
      </w:pPr>
      <w:r w:rsidRPr="00644F86">
        <w:rPr>
          <w:rFonts w:ascii="Arial" w:hAnsi="Arial" w:cs="Arial"/>
          <w:i/>
          <w:sz w:val="18"/>
          <w:szCs w:val="18"/>
          <w:vertAlign w:val="superscript"/>
        </w:rPr>
        <w:t>1</w:t>
      </w:r>
      <w:r w:rsidRPr="00644F86">
        <w:rPr>
          <w:rFonts w:ascii="Arial" w:hAnsi="Arial" w:cs="Arial"/>
          <w:i/>
          <w:sz w:val="18"/>
          <w:szCs w:val="18"/>
        </w:rPr>
        <w:t xml:space="preserve"> LAQV-REQUIMTE, Department of Chemistry, University of Aveiro, 3810-193 Aveiro, Portugal</w:t>
      </w:r>
    </w:p>
    <w:p w14:paraId="46F4BBB2" w14:textId="77777777" w:rsidR="0002443F" w:rsidRPr="00644F86" w:rsidRDefault="0002443F" w:rsidP="0002443F">
      <w:pPr>
        <w:jc w:val="center"/>
        <w:rPr>
          <w:rFonts w:ascii="Arial" w:hAnsi="Arial" w:cs="Arial"/>
          <w:i/>
          <w:sz w:val="18"/>
          <w:szCs w:val="18"/>
        </w:rPr>
      </w:pPr>
      <w:r w:rsidRPr="00644F86">
        <w:rPr>
          <w:rFonts w:ascii="Arial" w:hAnsi="Arial" w:cs="Arial"/>
          <w:i/>
          <w:sz w:val="18"/>
          <w:szCs w:val="18"/>
          <w:vertAlign w:val="superscript"/>
        </w:rPr>
        <w:t>2</w:t>
      </w:r>
      <w:r w:rsidRPr="00644F86">
        <w:rPr>
          <w:rFonts w:ascii="Arial" w:hAnsi="Arial" w:cs="Arial"/>
          <w:i/>
          <w:sz w:val="18"/>
          <w:szCs w:val="18"/>
        </w:rPr>
        <w:t xml:space="preserve"> LAQV-REQUIMTE, Department of Chemistry, Faculty of Pharmacy, University of Porto, 4050-313 Porto, Portugal</w:t>
      </w:r>
    </w:p>
    <w:p w14:paraId="49B671A3" w14:textId="77777777" w:rsidR="007F13B3" w:rsidRPr="00644F86" w:rsidRDefault="007F13B3" w:rsidP="0002443F">
      <w:pPr>
        <w:jc w:val="center"/>
        <w:rPr>
          <w:rFonts w:ascii="Arial" w:hAnsi="Arial" w:cs="Arial"/>
          <w:i/>
          <w:sz w:val="18"/>
          <w:szCs w:val="18"/>
        </w:rPr>
      </w:pPr>
    </w:p>
    <w:p w14:paraId="43D9CF14" w14:textId="738F28E6" w:rsidR="00975FF4" w:rsidRPr="00644F86" w:rsidRDefault="00E14AEF" w:rsidP="000021CA">
      <w:pPr>
        <w:jc w:val="center"/>
        <w:rPr>
          <w:rFonts w:ascii="Arial" w:hAnsi="Arial" w:cs="Arial"/>
          <w:i/>
          <w:sz w:val="18"/>
          <w:szCs w:val="18"/>
        </w:rPr>
      </w:pPr>
      <w:r w:rsidRPr="00644F86">
        <w:rPr>
          <w:rFonts w:ascii="Arial" w:hAnsi="Arial" w:cs="Arial"/>
          <w:i/>
          <w:sz w:val="18"/>
          <w:szCs w:val="18"/>
        </w:rPr>
        <w:t>*</w:t>
      </w:r>
      <w:r w:rsidR="00FF2140" w:rsidRPr="00644F86">
        <w:rPr>
          <w:rFonts w:ascii="Arial" w:hAnsi="Arial" w:cs="Arial"/>
          <w:i/>
          <w:sz w:val="18"/>
          <w:szCs w:val="18"/>
        </w:rPr>
        <w:t>E-mail</w:t>
      </w:r>
      <w:r w:rsidR="002E0ABC" w:rsidRPr="00644F86">
        <w:rPr>
          <w:rFonts w:ascii="Arial" w:hAnsi="Arial" w:cs="Arial"/>
          <w:i/>
          <w:sz w:val="18"/>
          <w:szCs w:val="18"/>
        </w:rPr>
        <w:t xml:space="preserve"> of the presenting author</w:t>
      </w:r>
      <w:r w:rsidR="00FF2140" w:rsidRPr="00644F86">
        <w:rPr>
          <w:rFonts w:ascii="Arial" w:hAnsi="Arial" w:cs="Arial"/>
          <w:i/>
          <w:sz w:val="18"/>
          <w:szCs w:val="18"/>
        </w:rPr>
        <w:t>:</w:t>
      </w:r>
      <w:r w:rsidR="002E0ABC" w:rsidRPr="00644F86">
        <w:rPr>
          <w:rFonts w:ascii="Arial" w:hAnsi="Arial" w:cs="Arial"/>
          <w:i/>
          <w:sz w:val="18"/>
          <w:szCs w:val="18"/>
        </w:rPr>
        <w:t xml:space="preserve"> </w:t>
      </w:r>
      <w:hyperlink r:id="rId8" w:history="1">
        <w:r w:rsidR="000021CA" w:rsidRPr="00644F86">
          <w:rPr>
            <w:rStyle w:val="Hiperligao"/>
            <w:rFonts w:ascii="Arial" w:hAnsi="Arial" w:cs="Arial"/>
            <w:i/>
            <w:sz w:val="18"/>
            <w:szCs w:val="18"/>
          </w:rPr>
          <w:t>carlospinto@ua.pt</w:t>
        </w:r>
      </w:hyperlink>
      <w:r w:rsidR="000021CA" w:rsidRPr="00644F86">
        <w:rPr>
          <w:rFonts w:ascii="Arial" w:hAnsi="Arial" w:cs="Arial"/>
          <w:i/>
          <w:sz w:val="18"/>
          <w:szCs w:val="18"/>
        </w:rPr>
        <w:tab/>
      </w:r>
    </w:p>
    <w:p w14:paraId="2892066C" w14:textId="2E606A46" w:rsidR="002E0ABC" w:rsidRPr="00644F86" w:rsidRDefault="002E0ABC" w:rsidP="000021CA">
      <w:pPr>
        <w:jc w:val="center"/>
        <w:rPr>
          <w:rFonts w:ascii="Arial" w:hAnsi="Arial" w:cs="Arial"/>
          <w:i/>
          <w:sz w:val="18"/>
          <w:szCs w:val="18"/>
        </w:rPr>
      </w:pPr>
      <w:r w:rsidRPr="00644F86">
        <w:rPr>
          <w:rFonts w:ascii="Arial" w:hAnsi="Arial" w:cs="Arial"/>
          <w:i/>
          <w:sz w:val="18"/>
          <w:szCs w:val="18"/>
          <w:vertAlign w:val="superscript"/>
        </w:rPr>
        <w:t>#</w:t>
      </w:r>
      <w:r w:rsidRPr="00644F86">
        <w:rPr>
          <w:rFonts w:ascii="Arial" w:hAnsi="Arial" w:cs="Arial"/>
          <w:i/>
          <w:sz w:val="18"/>
          <w:szCs w:val="18"/>
        </w:rPr>
        <w:t xml:space="preserve">E-mail of the corresponding author: </w:t>
      </w:r>
      <w:hyperlink r:id="rId9" w:history="1">
        <w:r w:rsidRPr="00644F86">
          <w:rPr>
            <w:rStyle w:val="Hiperligao"/>
            <w:rFonts w:ascii="Arial" w:hAnsi="Arial" w:cs="Arial"/>
            <w:i/>
            <w:sz w:val="18"/>
            <w:szCs w:val="18"/>
          </w:rPr>
          <w:t>jorgesaraiva@ua.pt</w:t>
        </w:r>
      </w:hyperlink>
    </w:p>
    <w:p w14:paraId="6EFE080D" w14:textId="77777777" w:rsidR="00A57C0A" w:rsidRPr="00644F86" w:rsidRDefault="00A57C0A" w:rsidP="00A57C0A">
      <w:pPr>
        <w:jc w:val="both"/>
        <w:rPr>
          <w:rFonts w:ascii="Arial" w:hAnsi="Arial" w:cs="Arial"/>
          <w:sz w:val="16"/>
          <w:szCs w:val="16"/>
        </w:rPr>
      </w:pPr>
    </w:p>
    <w:p w14:paraId="153E899C" w14:textId="0FF37629" w:rsidR="00A238B4" w:rsidRPr="00644F86" w:rsidRDefault="00A238B4" w:rsidP="00A238B4">
      <w:pPr>
        <w:ind w:firstLine="720"/>
        <w:jc w:val="both"/>
        <w:rPr>
          <w:rFonts w:ascii="Arial" w:hAnsi="Arial" w:cs="Arial"/>
          <w:sz w:val="20"/>
        </w:rPr>
      </w:pPr>
      <w:r w:rsidRPr="00644F86">
        <w:rPr>
          <w:rFonts w:ascii="Arial" w:hAnsi="Arial" w:cs="Arial"/>
          <w:i/>
          <w:iCs/>
          <w:sz w:val="20"/>
        </w:rPr>
        <w:t xml:space="preserve">Alicyclobacillus </w:t>
      </w:r>
      <w:proofErr w:type="spellStart"/>
      <w:r w:rsidRPr="00644F86">
        <w:rPr>
          <w:rFonts w:ascii="Arial" w:hAnsi="Arial" w:cs="Arial"/>
          <w:i/>
          <w:iCs/>
          <w:sz w:val="20"/>
        </w:rPr>
        <w:t>acidoterrestris</w:t>
      </w:r>
      <w:proofErr w:type="spellEnd"/>
      <w:r w:rsidRPr="00644F86">
        <w:rPr>
          <w:rFonts w:ascii="Arial" w:hAnsi="Arial" w:cs="Arial"/>
          <w:sz w:val="20"/>
        </w:rPr>
        <w:t xml:space="preserve"> is a gram-positive, thermophilic microorganism that produces highly resistant spores that represent and atypical case of an endospore able to germinate and outgrowth in acidic food products, as it is generally accepted that most endospores are unable to germinate/outgrowth at pH levels below 4.6, with the acidity hurdle blocking the nutrient receptors of the spores</w:t>
      </w:r>
      <w:r w:rsidR="00A2648F" w:rsidRPr="00644F86">
        <w:rPr>
          <w:rFonts w:ascii="Arial" w:hAnsi="Arial" w:cs="Arial"/>
          <w:sz w:val="20"/>
        </w:rPr>
        <w:fldChar w:fldCharType="begin"/>
      </w:r>
      <w:r w:rsidR="002A09EA" w:rsidRPr="00644F86">
        <w:rPr>
          <w:rFonts w:ascii="Arial" w:hAnsi="Arial" w:cs="Arial"/>
          <w:sz w:val="20"/>
        </w:rPr>
        <w:instrText xml:space="preserve"> ADDIN ZOTERO_ITEM CSL_CITATION {"citationID":"Hk5L4TCk","properties":{"formattedCitation":"\\super 1\\nosupersub{}","plainCitation":"1","noteIndex":0},"citationItems":[{"id":2803,"uris":["http://zotero.org/users/5649720/items/RKMEDHVA"],"itemData":{"id":2803,"type":"article-journal","abstract":"Recent developments in preservation technologies allow for the delivery of food with nutritional value and superior taste. Of special interest are lowacid, shelf-stable foods in which the complete control or inactivation of bacterial endospores is the crucial step to ensure consumer safety. Relevant preservation methods can be classified into physicochemical or physical hurdles, and the latter can be subclassified into thermal and nonthermal processes. The underlying inactivation mechanisms for each of these physicochemical or physical processes impact different morphological or molecular structures essential for spore germination and integrity in the dormant state. This review provides an overview of distinct endospore defense mechanisms that affect emerging physical hurdles as well as which technologies address these mechanisms. The physical spore-inactivation technologies considered include thermal, dynamic, and isostatic high pressure and electromagnetic technologies, such as pulsed electric fields, UV light, cold atmospheric pressure plasma, and high- or low-energy electron beam.","container-title":"Annual Review of Food Science and Technology","DOI":"10.1146/annurev-food-032519-051632","ISSN":"1941-1413, 1941-1421","issue":"1","journalAbbreviation":"Annu. Rev. Food Sci. Technol.","language":"en","page":"annurev-food-032519-051632","source":"DOI.org (Crossref)","title":"Endospore Inactivation by Emerging Technologies: A Review of Target Structures and Inactivation Mechanisms","title-short":"Endospore Inactivation by Emerging Technologies","volume":"11","author":[{"family":"Reineke","given":"Kai"},{"family":"Mathys","given":"Alexander"}],"issued":{"date-parts":[["2020",3,25]]}}}],"schema":"https://github.com/citation-style-language/schema/raw/master/csl-citation.json"} </w:instrText>
      </w:r>
      <w:r w:rsidR="00A2648F" w:rsidRPr="00644F86">
        <w:rPr>
          <w:rFonts w:ascii="Arial" w:hAnsi="Arial" w:cs="Arial"/>
          <w:sz w:val="20"/>
        </w:rPr>
        <w:fldChar w:fldCharType="separate"/>
      </w:r>
      <w:r w:rsidR="006E0138" w:rsidRPr="00644F86">
        <w:rPr>
          <w:rFonts w:ascii="Arial" w:hAnsi="Arial" w:cs="Arial"/>
          <w:sz w:val="20"/>
          <w:vertAlign w:val="superscript"/>
        </w:rPr>
        <w:t>1</w:t>
      </w:r>
      <w:r w:rsidR="00A2648F" w:rsidRPr="00644F86">
        <w:rPr>
          <w:rFonts w:ascii="Arial" w:hAnsi="Arial" w:cs="Arial"/>
          <w:sz w:val="20"/>
        </w:rPr>
        <w:fldChar w:fldCharType="end"/>
      </w:r>
      <w:r w:rsidRPr="00644F86">
        <w:rPr>
          <w:rFonts w:ascii="Arial" w:hAnsi="Arial" w:cs="Arial"/>
          <w:sz w:val="20"/>
        </w:rPr>
        <w:t>. Indeed, this particular endospore represents a threat to the industry, as it is rather prevalent in fruit juices and concentrates and, in its vegetative form, it is able to produce guaiacol, which is responsible for the off-flavours and odours in fruit juices and concentrates contaminated with this microorganism</w:t>
      </w:r>
      <w:r w:rsidR="002A09EA" w:rsidRPr="00644F86">
        <w:rPr>
          <w:rFonts w:ascii="Arial" w:hAnsi="Arial" w:cs="Arial"/>
          <w:sz w:val="20"/>
        </w:rPr>
        <w:fldChar w:fldCharType="begin"/>
      </w:r>
      <w:r w:rsidR="002A09EA" w:rsidRPr="00644F86">
        <w:rPr>
          <w:rFonts w:ascii="Arial" w:hAnsi="Arial" w:cs="Arial"/>
          <w:sz w:val="20"/>
        </w:rPr>
        <w:instrText xml:space="preserve"> ADDIN ZOTERO_ITEM CSL_CITATION {"citationID":"D2FD90qV","properties":{"formattedCitation":"\\super 2\\nosupersub{}","plainCitation":"2","noteIndex":0},"citationItems":[{"id":4084,"uris":["http://zotero.org/users/5649720/items/M82ZYYB6"],"itemData":{"id":4084,"type":"article-journal","abstract":"Growth of Alicyclobacillus acidoterrestris in fruit juices has been associated with the release of off-odor compounds, such as guaiacol. Guaiacol release was quantified using Selected Ion Flow Tube Mass Spectrometry (SIFT-MS) and method's minimum detection level was 3.6 ppb. The amount of guaiacol released was dependent on the amount of vanillin added to the medium. Sucrose-supplemented yeast starch glucose broth (SS-YSG broth; pH 3.7) and apple juice were spiked with vanillin (10 mg/L), inoculated with A. acidoterrestris and incubated at different temperatures (20°C–45 °C) for up to 528 h. At the temperatures that permitted growth, the bacterium grew slower in apple juice than in SS-YSG broth. Bacterial growth and guaiacol production were prevented in apple juice and inhibited in SS-YSG, when the inoculated products were incubated at 20 °C and 25 °C. When Alicyclobacillus was inoculated in SS-YSG adjusted to pH 2.7–6.7 and incubated at 37 °C, growth of the bacterium and guaiacol production were suppressed at pH 6.7 for up to 354 h and delayed at pH 2.7. Lauric arginate and ϵ-polylysine inactivated Alicyclobacillus cells with no guaiacol production in both SS-YSG and apple juice. However, ϵ-polylysine was more effective than lauric arginate when the SS-YSG (pH 3.7) was inoculated with Alicyclobacillus spores.","container-title":"LWT","DOI":"10.1016/j.lwt.2019.108883","ISSN":"0023-6438","journalAbbreviation":"LWT","language":"en","page":"108883","source":"ScienceDirect","title":"Factors affecting Alicyclobacillus acidoterrestris growth and guaiacol production and controlling apple juice spoilage by lauric arginate and ϵ-polylysine","volume":"119","author":[{"family":"Hu","given":"Xiaohuan"},{"family":"Huang","given":"En"},{"family":"Barringer","given":"Sheryl A."},{"family":"Yousef","given":"Ahmed E."}],"issued":{"date-parts":[["2020",2,1]]}}}],"schema":"https://github.com/citation-style-language/schema/raw/master/csl-citation.json"} </w:instrText>
      </w:r>
      <w:r w:rsidR="002A09EA" w:rsidRPr="00644F86">
        <w:rPr>
          <w:rFonts w:ascii="Arial" w:hAnsi="Arial" w:cs="Arial"/>
          <w:sz w:val="20"/>
        </w:rPr>
        <w:fldChar w:fldCharType="separate"/>
      </w:r>
      <w:r w:rsidR="006E0138" w:rsidRPr="00644F86">
        <w:rPr>
          <w:rFonts w:ascii="Arial" w:hAnsi="Arial" w:cs="Arial"/>
          <w:sz w:val="20"/>
          <w:vertAlign w:val="superscript"/>
        </w:rPr>
        <w:t>2</w:t>
      </w:r>
      <w:r w:rsidR="002A09EA" w:rsidRPr="00644F86">
        <w:rPr>
          <w:rFonts w:ascii="Arial" w:hAnsi="Arial" w:cs="Arial"/>
          <w:sz w:val="20"/>
        </w:rPr>
        <w:fldChar w:fldCharType="end"/>
      </w:r>
      <w:r w:rsidRPr="00644F86">
        <w:rPr>
          <w:rFonts w:ascii="Arial" w:hAnsi="Arial" w:cs="Arial"/>
          <w:sz w:val="20"/>
        </w:rPr>
        <w:t>.</w:t>
      </w:r>
    </w:p>
    <w:p w14:paraId="1497E1FD" w14:textId="064F2EB2" w:rsidR="00A238B4" w:rsidRPr="00644F86" w:rsidRDefault="00A238B4" w:rsidP="007422C4">
      <w:pPr>
        <w:jc w:val="both"/>
        <w:rPr>
          <w:rFonts w:ascii="Arial" w:hAnsi="Arial" w:cs="Arial"/>
          <w:sz w:val="20"/>
        </w:rPr>
      </w:pPr>
      <w:r w:rsidRPr="00644F86">
        <w:rPr>
          <w:rFonts w:ascii="Arial" w:hAnsi="Arial" w:cs="Arial"/>
          <w:sz w:val="20"/>
        </w:rPr>
        <w:t xml:space="preserve">Lately, high pressure processing (HPP) has been widely used for nonthermal pasteurization of foods, although, as for any pasteurization procedure (either thermal or nonthermal) it is unable to destroy bacterial spores, although, the combination of high temperatures (above 70 </w:t>
      </w:r>
      <w:r w:rsidR="003820CB" w:rsidRPr="00644F86">
        <w:rPr>
          <w:rFonts w:ascii="Arial" w:hAnsi="Arial" w:cs="Arial"/>
          <w:sz w:val="20"/>
        </w:rPr>
        <w:t>°</w:t>
      </w:r>
      <w:r w:rsidRPr="00644F86">
        <w:rPr>
          <w:rFonts w:ascii="Arial" w:hAnsi="Arial" w:cs="Arial"/>
          <w:sz w:val="20"/>
        </w:rPr>
        <w:t>C) with HPP has shown to be efficient for endospore inactivation. Nevertheless, the combination of these temperatures with HPP may also causes considerable changes to the food products (although in a lower extension compared with intense thermal processes aiming the inactivation of spores, such as sterilization)</w:t>
      </w:r>
      <w:r w:rsidR="003F3001" w:rsidRPr="00644F86">
        <w:rPr>
          <w:rFonts w:ascii="Arial" w:hAnsi="Arial" w:cs="Arial"/>
          <w:sz w:val="20"/>
        </w:rPr>
        <w:fldChar w:fldCharType="begin"/>
      </w:r>
      <w:r w:rsidR="003F3001" w:rsidRPr="00644F86">
        <w:rPr>
          <w:rFonts w:ascii="Arial" w:hAnsi="Arial" w:cs="Arial"/>
          <w:sz w:val="20"/>
        </w:rPr>
        <w:instrText xml:space="preserve"> ADDIN ZOTERO_ITEM CSL_CITATION {"citationID":"rq6YHOrD","properties":{"formattedCitation":"\\super 3\\nosupersub{}","plainCitation":"3","noteIndex":0},"citationItems":[{"id":7454,"uris":["http://zotero.org/users/5649720/items/KRF287KD"],"itemData":{"id":7454,"type":"article-journal","abstract":"The objective of this study was to assess the influence of pressure-assisted thermal sterilization (PATS) on nutrients and quality of pumpkin, butternut squash, pea, beetroot, and purple potato purees. PATS processing parameters included preheating of purees at 98 °C for 5 min and pressurizing at 600 MPa in a vessel set at 90 °C for 5 min. Colorimetric temperature sensors, two types of Bacillus amyloliquefaciens spores, total aerobic and anaerobic plate count, HPLC, as well as spectrometer and spectrophotometer were utilized. The colorimetric temperature sensor based on its color value when extrapolated suggested the purees' temperature reached 122 °C. Thus, at least 9-log10 reduction of B. amyloliquefaciens spores was achieved in a purple potato puree, and no detectable aerobic and anaerobic microorganisms were found after PATS in all purees. Vitamin C showed 3–14% reduction after PATS. Total chlorophyll and β-carotene did not vary significantly (p &gt; 0.05) after PATS, while betalains and anthocyanin were sensitive and decreased significantly. Interestingly, total color change (ΔE) of pumpkin, butternut squash, and beetroot purees ranged between 2.5 and 3.4 below the threshold (ΔE = 6) value that can be observed by the naked eyes. EVOH-based packages did not show any visual deformation, but their oxygen and water vapor transmission rates increased significantly (p &lt; 0.05) after PATS. The present research suggests that PATS can be used to produce safe and high-quality shelf-stable fruit and vegetable products.","container-title":"Food Control","DOI":"10.1016/j.foodcont.2020.107233","ISSN":"0956-7135","journalAbbreviation":"Food Control","page":"107233","source":"ScienceDirect","title":"High pressure-assisted thermal sterilization of low-acid fruit and vegetable purees: Microbial safety, nutrient, quality, and packaging evaluation","title-short":"High pressure-assisted thermal sterilization of low-acid fruit and vegetable purees","volume":"114","author":[{"family":"Al-Ghamdi","given":"Saleh"},{"family":"Sonar","given":"Chandrashekhar R."},{"family":"Patel","given":"Juhi"},{"family":"Albahr","given":"Zeyad"},{"family":"Sablani","given":"Shyam S."}],"issued":{"date-parts":[["2020",8,1]]}}}],"schema":"https://github.com/citation-style-language/schema/raw/master/csl-citation.json"} </w:instrText>
      </w:r>
      <w:r w:rsidR="003F3001" w:rsidRPr="00644F86">
        <w:rPr>
          <w:rFonts w:ascii="Arial" w:hAnsi="Arial" w:cs="Arial"/>
          <w:sz w:val="20"/>
        </w:rPr>
        <w:fldChar w:fldCharType="separate"/>
      </w:r>
      <w:r w:rsidR="006E0138" w:rsidRPr="00644F86">
        <w:rPr>
          <w:rFonts w:ascii="Arial" w:hAnsi="Arial" w:cs="Arial"/>
          <w:sz w:val="20"/>
          <w:vertAlign w:val="superscript"/>
        </w:rPr>
        <w:t>3</w:t>
      </w:r>
      <w:r w:rsidR="003F3001" w:rsidRPr="00644F86">
        <w:rPr>
          <w:rFonts w:ascii="Arial" w:hAnsi="Arial" w:cs="Arial"/>
          <w:sz w:val="20"/>
        </w:rPr>
        <w:fldChar w:fldCharType="end"/>
      </w:r>
      <w:r w:rsidR="007B71E6" w:rsidRPr="00644F86">
        <w:rPr>
          <w:rFonts w:ascii="Arial" w:hAnsi="Arial" w:cs="Arial"/>
          <w:sz w:val="20"/>
        </w:rPr>
        <w:t>.</w:t>
      </w:r>
    </w:p>
    <w:p w14:paraId="4D3D9720" w14:textId="62A1C6E7" w:rsidR="007422C4" w:rsidRPr="00644F86" w:rsidRDefault="007422C4" w:rsidP="00B92981">
      <w:pPr>
        <w:ind w:firstLine="720"/>
        <w:jc w:val="both"/>
        <w:rPr>
          <w:rFonts w:ascii="Arial" w:hAnsi="Arial" w:cs="Arial"/>
          <w:sz w:val="20"/>
        </w:rPr>
      </w:pPr>
      <w:r w:rsidRPr="00644F86">
        <w:rPr>
          <w:rFonts w:ascii="Arial" w:hAnsi="Arial" w:cs="Arial"/>
          <w:sz w:val="20"/>
        </w:rPr>
        <w:t xml:space="preserve">This study investigated the hyperbaric inactivation (HI) of </w:t>
      </w:r>
      <w:r w:rsidRPr="00644F86">
        <w:rPr>
          <w:rFonts w:ascii="Arial" w:hAnsi="Arial" w:cs="Arial"/>
          <w:i/>
          <w:iCs/>
          <w:sz w:val="20"/>
        </w:rPr>
        <w:t xml:space="preserve">Alicyclobacillus </w:t>
      </w:r>
      <w:proofErr w:type="spellStart"/>
      <w:r w:rsidRPr="00644F86">
        <w:rPr>
          <w:rFonts w:ascii="Arial" w:hAnsi="Arial" w:cs="Arial"/>
          <w:i/>
          <w:iCs/>
          <w:sz w:val="20"/>
        </w:rPr>
        <w:t>acidoterrestris</w:t>
      </w:r>
      <w:proofErr w:type="spellEnd"/>
      <w:r w:rsidRPr="00644F86">
        <w:rPr>
          <w:rFonts w:ascii="Arial" w:hAnsi="Arial" w:cs="Arial"/>
          <w:sz w:val="20"/>
        </w:rPr>
        <w:t xml:space="preserve"> (ACB) spores in apple juice at pressures of 150, 200, and 250 MPa for up to 24 hours at ambient temperatures (18–23 °C).</w:t>
      </w:r>
      <w:r w:rsidR="00B92981" w:rsidRPr="00644F86">
        <w:rPr>
          <w:rFonts w:ascii="Arial" w:hAnsi="Arial" w:cs="Arial"/>
          <w:sz w:val="20"/>
        </w:rPr>
        <w:t xml:space="preserve"> </w:t>
      </w:r>
      <w:r w:rsidRPr="00644F86">
        <w:rPr>
          <w:rFonts w:ascii="Arial" w:hAnsi="Arial" w:cs="Arial"/>
          <w:sz w:val="20"/>
        </w:rPr>
        <w:t>The impact of different pre-treatments</w:t>
      </w:r>
      <w:r w:rsidR="00D51D1D" w:rsidRPr="00644F86">
        <w:rPr>
          <w:rFonts w:ascii="Arial" w:hAnsi="Arial" w:cs="Arial"/>
          <w:sz w:val="20"/>
        </w:rPr>
        <w:t xml:space="preserve"> - </w:t>
      </w:r>
      <w:r w:rsidRPr="00644F86">
        <w:rPr>
          <w:rFonts w:ascii="Arial" w:hAnsi="Arial" w:cs="Arial"/>
          <w:sz w:val="20"/>
        </w:rPr>
        <w:t>ultrasound (67 W, 20 kHz, 5 min, US)</w:t>
      </w:r>
      <w:r w:rsidR="00D51D1D" w:rsidRPr="00644F86">
        <w:rPr>
          <w:rFonts w:ascii="Arial" w:hAnsi="Arial" w:cs="Arial"/>
          <w:sz w:val="20"/>
        </w:rPr>
        <w:t xml:space="preserve"> and pulsed electric field (30 kV, 80 </w:t>
      </w:r>
      <w:proofErr w:type="spellStart"/>
      <w:r w:rsidR="00D51D1D" w:rsidRPr="00644F86">
        <w:rPr>
          <w:rFonts w:ascii="Arial" w:hAnsi="Arial" w:cs="Arial"/>
          <w:sz w:val="20"/>
        </w:rPr>
        <w:t>μs</w:t>
      </w:r>
      <w:proofErr w:type="spellEnd"/>
      <w:r w:rsidR="00D51D1D" w:rsidRPr="00644F86">
        <w:rPr>
          <w:rFonts w:ascii="Arial" w:hAnsi="Arial" w:cs="Arial"/>
          <w:sz w:val="20"/>
        </w:rPr>
        <w:t xml:space="preserve">, 1400 Hz, PEF) </w:t>
      </w:r>
      <w:r w:rsidR="00C052CA" w:rsidRPr="00644F86">
        <w:rPr>
          <w:rFonts w:ascii="Arial" w:hAnsi="Arial" w:cs="Arial"/>
          <w:sz w:val="20"/>
        </w:rPr>
        <w:t>- on</w:t>
      </w:r>
      <w:r w:rsidRPr="00644F86">
        <w:rPr>
          <w:rFonts w:ascii="Arial" w:hAnsi="Arial" w:cs="Arial"/>
          <w:sz w:val="20"/>
        </w:rPr>
        <w:t xml:space="preserve"> spore inactivation by HI was evaluated. Inactivation data were fitted to non-linear kinetic models, including Biphasic, Log-logistic, and Weibull models.</w:t>
      </w:r>
    </w:p>
    <w:p w14:paraId="21D529A8" w14:textId="77777777" w:rsidR="000D5DC8" w:rsidRPr="00644F86" w:rsidRDefault="007422C4" w:rsidP="006E6A2C">
      <w:pPr>
        <w:ind w:firstLine="720"/>
        <w:jc w:val="both"/>
        <w:rPr>
          <w:rFonts w:ascii="Arial" w:hAnsi="Arial" w:cs="Arial"/>
          <w:sz w:val="20"/>
        </w:rPr>
      </w:pPr>
      <w:r w:rsidRPr="00644F86">
        <w:rPr>
          <w:rFonts w:ascii="Arial" w:hAnsi="Arial" w:cs="Arial"/>
          <w:sz w:val="20"/>
        </w:rPr>
        <w:t>Without pre-treatment, HI achieved approximately 4.56 log reductions in ACB spores after 24 hours across all pressure levels, starting from an initial load of ~6 log CFU/mL</w:t>
      </w:r>
      <w:r w:rsidR="000D5DC8" w:rsidRPr="00644F86">
        <w:rPr>
          <w:rFonts w:ascii="Arial" w:hAnsi="Arial" w:cs="Arial"/>
          <w:sz w:val="20"/>
        </w:rPr>
        <w:t xml:space="preserve">, as seen in </w:t>
      </w:r>
      <w:r w:rsidR="000D5DC8" w:rsidRPr="00644F86">
        <w:rPr>
          <w:rFonts w:ascii="Arial" w:hAnsi="Arial" w:cs="Arial"/>
          <w:b/>
          <w:bCs/>
          <w:sz w:val="20"/>
        </w:rPr>
        <w:t>Figure 1</w:t>
      </w:r>
      <w:r w:rsidRPr="00644F86">
        <w:rPr>
          <w:rFonts w:ascii="Arial" w:hAnsi="Arial" w:cs="Arial"/>
          <w:sz w:val="20"/>
        </w:rPr>
        <w:t>.</w:t>
      </w:r>
      <w:r w:rsidR="00D51D1D" w:rsidRPr="00644F86">
        <w:rPr>
          <w:rFonts w:ascii="Arial" w:hAnsi="Arial" w:cs="Arial"/>
          <w:sz w:val="20"/>
        </w:rPr>
        <w:t xml:space="preserve"> </w:t>
      </w:r>
    </w:p>
    <w:p w14:paraId="1F010FAD" w14:textId="77777777" w:rsidR="000D5DC8" w:rsidRPr="00644F86" w:rsidRDefault="000D5DC8" w:rsidP="006E6A2C">
      <w:pPr>
        <w:ind w:firstLine="720"/>
        <w:jc w:val="both"/>
        <w:rPr>
          <w:rFonts w:ascii="Arial" w:hAnsi="Arial" w:cs="Arial"/>
          <w:sz w:val="20"/>
        </w:rPr>
      </w:pPr>
    </w:p>
    <w:p w14:paraId="456C8C12" w14:textId="77777777" w:rsidR="00BE0FD5" w:rsidRPr="00644F86" w:rsidRDefault="00BE0FD5" w:rsidP="00BE0FD5">
      <w:pPr>
        <w:keepNext/>
        <w:jc w:val="center"/>
      </w:pPr>
      <w:r w:rsidRPr="00644F86">
        <w:rPr>
          <w:rFonts w:ascii="Arial" w:hAnsi="Arial" w:cs="Arial"/>
          <w:noProof/>
          <w:sz w:val="20"/>
        </w:rPr>
        <w:drawing>
          <wp:inline distT="0" distB="0" distL="0" distR="0" wp14:anchorId="1A4929B5" wp14:editId="7C67D871">
            <wp:extent cx="4658874" cy="1713382"/>
            <wp:effectExtent l="0" t="0" r="8890" b="1270"/>
            <wp:docPr id="212018534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2444" cy="1729406"/>
                    </a:xfrm>
                    <a:prstGeom prst="rect">
                      <a:avLst/>
                    </a:prstGeom>
                    <a:noFill/>
                  </pic:spPr>
                </pic:pic>
              </a:graphicData>
            </a:graphic>
          </wp:inline>
        </w:drawing>
      </w:r>
    </w:p>
    <w:p w14:paraId="16E283B3" w14:textId="67EEF461" w:rsidR="000D5DC8" w:rsidRPr="00644F86" w:rsidRDefault="00BE0FD5" w:rsidP="006071D2">
      <w:pPr>
        <w:pStyle w:val="Legenda"/>
        <w:spacing w:after="0"/>
        <w:jc w:val="both"/>
        <w:rPr>
          <w:rFonts w:ascii="Arial" w:hAnsi="Arial" w:cs="Arial"/>
          <w:i w:val="0"/>
          <w:iCs w:val="0"/>
          <w:color w:val="000000" w:themeColor="text1"/>
        </w:rPr>
      </w:pPr>
      <w:r w:rsidRPr="00644F86">
        <w:rPr>
          <w:rFonts w:ascii="Arial" w:hAnsi="Arial" w:cs="Arial"/>
          <w:b/>
          <w:bCs/>
          <w:i w:val="0"/>
          <w:iCs w:val="0"/>
          <w:color w:val="000000" w:themeColor="text1"/>
        </w:rPr>
        <w:t xml:space="preserve">Figure </w:t>
      </w:r>
      <w:r w:rsidRPr="00644F86">
        <w:rPr>
          <w:rFonts w:ascii="Arial" w:hAnsi="Arial" w:cs="Arial"/>
          <w:b/>
          <w:bCs/>
          <w:i w:val="0"/>
          <w:iCs w:val="0"/>
          <w:color w:val="000000" w:themeColor="text1"/>
        </w:rPr>
        <w:fldChar w:fldCharType="begin"/>
      </w:r>
      <w:r w:rsidRPr="00644F86">
        <w:rPr>
          <w:rFonts w:ascii="Arial" w:hAnsi="Arial" w:cs="Arial"/>
          <w:b/>
          <w:bCs/>
          <w:i w:val="0"/>
          <w:iCs w:val="0"/>
          <w:color w:val="000000" w:themeColor="text1"/>
        </w:rPr>
        <w:instrText xml:space="preserve"> SEQ Figure \* ARABIC </w:instrText>
      </w:r>
      <w:r w:rsidRPr="00644F86">
        <w:rPr>
          <w:rFonts w:ascii="Arial" w:hAnsi="Arial" w:cs="Arial"/>
          <w:b/>
          <w:bCs/>
          <w:i w:val="0"/>
          <w:iCs w:val="0"/>
          <w:color w:val="000000" w:themeColor="text1"/>
        </w:rPr>
        <w:fldChar w:fldCharType="separate"/>
      </w:r>
      <w:r w:rsidRPr="00644F86">
        <w:rPr>
          <w:rFonts w:ascii="Arial" w:hAnsi="Arial" w:cs="Arial"/>
          <w:b/>
          <w:bCs/>
          <w:i w:val="0"/>
          <w:iCs w:val="0"/>
          <w:color w:val="000000" w:themeColor="text1"/>
        </w:rPr>
        <w:t>1</w:t>
      </w:r>
      <w:r w:rsidRPr="00644F86">
        <w:rPr>
          <w:rFonts w:ascii="Arial" w:hAnsi="Arial" w:cs="Arial"/>
          <w:b/>
          <w:bCs/>
          <w:i w:val="0"/>
          <w:iCs w:val="0"/>
          <w:color w:val="000000" w:themeColor="text1"/>
        </w:rPr>
        <w:fldChar w:fldCharType="end"/>
      </w:r>
      <w:r w:rsidRPr="00644F86">
        <w:rPr>
          <w:rFonts w:ascii="Arial" w:hAnsi="Arial" w:cs="Arial"/>
          <w:b/>
          <w:bCs/>
          <w:i w:val="0"/>
          <w:iCs w:val="0"/>
          <w:color w:val="000000" w:themeColor="text1"/>
        </w:rPr>
        <w:t>.</w:t>
      </w:r>
      <w:r w:rsidR="00C11341" w:rsidRPr="00644F86">
        <w:rPr>
          <w:rFonts w:ascii="Arial" w:hAnsi="Arial" w:cs="Arial"/>
          <w:i w:val="0"/>
          <w:iCs w:val="0"/>
          <w:color w:val="000000" w:themeColor="text1"/>
          <w:sz w:val="24"/>
          <w:szCs w:val="20"/>
        </w:rPr>
        <w:t xml:space="preserve"> </w:t>
      </w:r>
      <w:r w:rsidR="00C11341" w:rsidRPr="00644F86">
        <w:rPr>
          <w:rFonts w:ascii="Arial" w:hAnsi="Arial" w:cs="Arial"/>
          <w:i w:val="0"/>
          <w:iCs w:val="0"/>
          <w:color w:val="000000" w:themeColor="text1"/>
        </w:rPr>
        <w:t xml:space="preserve">Total endospore load (unheated samples, TEL) and </w:t>
      </w:r>
      <w:proofErr w:type="gramStart"/>
      <w:r w:rsidR="00C11341" w:rsidRPr="00644F86">
        <w:rPr>
          <w:rFonts w:ascii="Arial" w:hAnsi="Arial" w:cs="Arial"/>
          <w:i w:val="0"/>
          <w:iCs w:val="0"/>
          <w:color w:val="000000" w:themeColor="text1"/>
        </w:rPr>
        <w:t>heat resistant</w:t>
      </w:r>
      <w:proofErr w:type="gramEnd"/>
      <w:r w:rsidR="00C11341" w:rsidRPr="00644F86">
        <w:rPr>
          <w:rFonts w:ascii="Arial" w:hAnsi="Arial" w:cs="Arial"/>
          <w:i w:val="0"/>
          <w:iCs w:val="0"/>
          <w:color w:val="000000" w:themeColor="text1"/>
        </w:rPr>
        <w:t xml:space="preserve"> endospore fraction (heat-treated samples at 80 ºC for 20 min, HREF) of </w:t>
      </w:r>
      <w:r w:rsidR="00C11341" w:rsidRPr="00644F86">
        <w:rPr>
          <w:rFonts w:ascii="Arial" w:hAnsi="Arial" w:cs="Arial"/>
          <w:color w:val="000000" w:themeColor="text1"/>
        </w:rPr>
        <w:t>A</w:t>
      </w:r>
      <w:r w:rsidR="00A60B79" w:rsidRPr="00644F86">
        <w:rPr>
          <w:rFonts w:ascii="Arial" w:hAnsi="Arial" w:cs="Arial"/>
          <w:color w:val="000000" w:themeColor="text1"/>
        </w:rPr>
        <w:t>licyclobacillus</w:t>
      </w:r>
      <w:r w:rsidR="00C11341" w:rsidRPr="00644F86">
        <w:rPr>
          <w:rFonts w:ascii="Arial" w:hAnsi="Arial" w:cs="Arial"/>
          <w:color w:val="000000" w:themeColor="text1"/>
        </w:rPr>
        <w:t xml:space="preserve"> </w:t>
      </w:r>
      <w:proofErr w:type="spellStart"/>
      <w:r w:rsidR="00C11341" w:rsidRPr="00644F86">
        <w:rPr>
          <w:rFonts w:ascii="Arial" w:hAnsi="Arial" w:cs="Arial"/>
          <w:color w:val="000000" w:themeColor="text1"/>
        </w:rPr>
        <w:t>acidoterrestris</w:t>
      </w:r>
      <w:proofErr w:type="spellEnd"/>
      <w:r w:rsidR="00C11341" w:rsidRPr="00644F86">
        <w:rPr>
          <w:rFonts w:ascii="Arial" w:hAnsi="Arial" w:cs="Arial"/>
          <w:i w:val="0"/>
          <w:iCs w:val="0"/>
          <w:color w:val="000000" w:themeColor="text1"/>
        </w:rPr>
        <w:t xml:space="preserve"> endospores inoculated in commercial apple juice (pH 3.70) and kept under hyperbaric inactivation conditions at 150, 200 and 250 MPa up to 24h, at uncontrolled room temperatures (18-23 ºC), without any pre-activation treatment. Empty-filled symbols mean that the quantification limit (2.00 Log CFU/mL) was reached. Different lower-case letters (a-h) represent statistically significant differences (p&lt;0.05) between the different holding times.</w:t>
      </w:r>
    </w:p>
    <w:p w14:paraId="547FC81B" w14:textId="77777777" w:rsidR="006071D2" w:rsidRPr="00644F86" w:rsidRDefault="006071D2" w:rsidP="006071D2">
      <w:pPr>
        <w:rPr>
          <w:sz w:val="20"/>
          <w:szCs w:val="16"/>
        </w:rPr>
      </w:pPr>
    </w:p>
    <w:p w14:paraId="6FA5DF03" w14:textId="4B5BAC01" w:rsidR="006E6A2C" w:rsidRPr="00644F86" w:rsidRDefault="000C6765" w:rsidP="006E6A2C">
      <w:pPr>
        <w:ind w:firstLine="720"/>
        <w:jc w:val="both"/>
        <w:rPr>
          <w:rFonts w:ascii="Arial" w:hAnsi="Arial" w:cs="Arial"/>
          <w:sz w:val="20"/>
        </w:rPr>
      </w:pPr>
      <w:r w:rsidRPr="00644F86">
        <w:rPr>
          <w:rFonts w:ascii="Arial" w:hAnsi="Arial" w:cs="Arial"/>
          <w:sz w:val="20"/>
        </w:rPr>
        <w:t>The p</w:t>
      </w:r>
      <w:r w:rsidR="007422C4" w:rsidRPr="00644F86">
        <w:rPr>
          <w:rFonts w:ascii="Arial" w:hAnsi="Arial" w:cs="Arial"/>
          <w:sz w:val="20"/>
        </w:rPr>
        <w:t>re-treatment</w:t>
      </w:r>
      <w:r w:rsidRPr="00644F86">
        <w:rPr>
          <w:rFonts w:ascii="Arial" w:hAnsi="Arial" w:cs="Arial"/>
          <w:sz w:val="20"/>
        </w:rPr>
        <w:t xml:space="preserve"> with US did not cause neither major effect on spore inactivation nor </w:t>
      </w:r>
      <w:r w:rsidR="007422C4" w:rsidRPr="00644F86">
        <w:rPr>
          <w:rFonts w:ascii="Arial" w:hAnsi="Arial" w:cs="Arial"/>
          <w:sz w:val="20"/>
        </w:rPr>
        <w:t>enhance</w:t>
      </w:r>
      <w:r w:rsidRPr="00644F86">
        <w:rPr>
          <w:rFonts w:ascii="Arial" w:hAnsi="Arial" w:cs="Arial"/>
          <w:sz w:val="20"/>
        </w:rPr>
        <w:t>d the effectiveness of</w:t>
      </w:r>
      <w:r w:rsidR="007422C4" w:rsidRPr="00644F86">
        <w:rPr>
          <w:rFonts w:ascii="Arial" w:hAnsi="Arial" w:cs="Arial"/>
          <w:sz w:val="20"/>
        </w:rPr>
        <w:t xml:space="preserve"> HI, with inactivation levels remaining around 4–5 log units after 24 hours</w:t>
      </w:r>
      <w:r w:rsidRPr="00644F86">
        <w:rPr>
          <w:rFonts w:ascii="Arial" w:hAnsi="Arial" w:cs="Arial"/>
          <w:sz w:val="20"/>
        </w:rPr>
        <w:t>. When it comes to</w:t>
      </w:r>
      <w:r w:rsidR="007422C4" w:rsidRPr="00644F86">
        <w:rPr>
          <w:rFonts w:ascii="Arial" w:hAnsi="Arial" w:cs="Arial"/>
          <w:sz w:val="20"/>
        </w:rPr>
        <w:t xml:space="preserve"> PEF, </w:t>
      </w:r>
      <w:r w:rsidRPr="00644F86">
        <w:rPr>
          <w:rFonts w:ascii="Arial" w:hAnsi="Arial" w:cs="Arial"/>
          <w:sz w:val="20"/>
        </w:rPr>
        <w:t>its application prior to HI</w:t>
      </w:r>
      <w:r w:rsidR="007422C4" w:rsidRPr="00644F86">
        <w:rPr>
          <w:rFonts w:ascii="Arial" w:hAnsi="Arial" w:cs="Arial"/>
          <w:sz w:val="20"/>
        </w:rPr>
        <w:t xml:space="preserve"> resulted in a slightly lower inactivation of about 3.5 log units</w:t>
      </w:r>
      <w:r w:rsidRPr="00644F86">
        <w:rPr>
          <w:rFonts w:ascii="Arial" w:hAnsi="Arial" w:cs="Arial"/>
          <w:sz w:val="20"/>
        </w:rPr>
        <w:t xml:space="preserve"> after 24h</w:t>
      </w:r>
      <w:r w:rsidR="007422C4" w:rsidRPr="00644F86">
        <w:rPr>
          <w:rFonts w:ascii="Arial" w:hAnsi="Arial" w:cs="Arial"/>
          <w:sz w:val="20"/>
        </w:rPr>
        <w:t>. Phase contrast microscopy indicated that spores did not transition into vegetative cells during HI.</w:t>
      </w:r>
      <w:r w:rsidR="006E6A2C" w:rsidRPr="00644F86">
        <w:rPr>
          <w:rFonts w:ascii="Arial" w:hAnsi="Arial" w:cs="Arial"/>
          <w:sz w:val="20"/>
        </w:rPr>
        <w:t xml:space="preserve"> </w:t>
      </w:r>
    </w:p>
    <w:p w14:paraId="3045CDD3" w14:textId="15B58C7C" w:rsidR="002B7363" w:rsidRPr="00644F86" w:rsidRDefault="007422C4" w:rsidP="006E6A2C">
      <w:pPr>
        <w:ind w:firstLine="720"/>
        <w:jc w:val="both"/>
        <w:rPr>
          <w:rFonts w:ascii="Arial" w:hAnsi="Arial" w:cs="Arial"/>
          <w:sz w:val="20"/>
        </w:rPr>
      </w:pPr>
      <w:r w:rsidRPr="00644F86">
        <w:rPr>
          <w:rFonts w:ascii="Arial" w:hAnsi="Arial" w:cs="Arial"/>
          <w:sz w:val="20"/>
        </w:rPr>
        <w:t>The results of this work point to the possibility of using HI to inactivate ACB spores at room temperatur</w:t>
      </w:r>
      <w:r w:rsidR="00B92981" w:rsidRPr="00644F86">
        <w:rPr>
          <w:rFonts w:ascii="Arial" w:hAnsi="Arial" w:cs="Arial"/>
          <w:sz w:val="20"/>
        </w:rPr>
        <w:t xml:space="preserve">e, </w:t>
      </w:r>
      <w:r w:rsidR="00D51D1D" w:rsidRPr="00644F86">
        <w:rPr>
          <w:rFonts w:ascii="Arial" w:hAnsi="Arial" w:cs="Arial"/>
          <w:sz w:val="20"/>
        </w:rPr>
        <w:t>without a</w:t>
      </w:r>
      <w:r w:rsidR="00B92981" w:rsidRPr="00644F86">
        <w:rPr>
          <w:rFonts w:ascii="Arial" w:hAnsi="Arial" w:cs="Arial"/>
          <w:sz w:val="20"/>
        </w:rPr>
        <w:t xml:space="preserve"> </w:t>
      </w:r>
      <w:r w:rsidR="00D51D1D" w:rsidRPr="00644F86">
        <w:rPr>
          <w:rFonts w:ascii="Arial" w:hAnsi="Arial" w:cs="Arial"/>
          <w:sz w:val="20"/>
        </w:rPr>
        <w:t>previous</w:t>
      </w:r>
      <w:r w:rsidR="00B92981" w:rsidRPr="00644F86">
        <w:rPr>
          <w:rFonts w:ascii="Arial" w:hAnsi="Arial" w:cs="Arial"/>
          <w:sz w:val="20"/>
        </w:rPr>
        <w:t xml:space="preserve"> pre-treatment</w:t>
      </w:r>
      <w:r w:rsidR="00D51D1D" w:rsidRPr="00644F86">
        <w:rPr>
          <w:rFonts w:ascii="Arial" w:hAnsi="Arial" w:cs="Arial"/>
          <w:sz w:val="20"/>
        </w:rPr>
        <w:t xml:space="preserve"> (as </w:t>
      </w:r>
      <w:r w:rsidR="00C052CA" w:rsidRPr="00644F86">
        <w:rPr>
          <w:rFonts w:ascii="Arial" w:hAnsi="Arial" w:cs="Arial"/>
          <w:sz w:val="20"/>
        </w:rPr>
        <w:t>neither pre-treatment enhanced the inactivation process</w:t>
      </w:r>
      <w:r w:rsidR="003820CB" w:rsidRPr="00644F86">
        <w:rPr>
          <w:rFonts w:ascii="Arial" w:hAnsi="Arial" w:cs="Arial"/>
          <w:sz w:val="20"/>
        </w:rPr>
        <w:t xml:space="preserve">, and PEF even slowed down </w:t>
      </w:r>
      <w:r w:rsidR="00CA2F0A" w:rsidRPr="00644F86">
        <w:rPr>
          <w:rFonts w:ascii="Arial" w:hAnsi="Arial" w:cs="Arial"/>
          <w:sz w:val="20"/>
        </w:rPr>
        <w:t>the inactivation process</w:t>
      </w:r>
      <w:r w:rsidR="00C052CA" w:rsidRPr="00644F86">
        <w:rPr>
          <w:rFonts w:ascii="Arial" w:hAnsi="Arial" w:cs="Arial"/>
          <w:sz w:val="20"/>
        </w:rPr>
        <w:t>)</w:t>
      </w:r>
      <w:r w:rsidRPr="00644F86">
        <w:rPr>
          <w:rFonts w:ascii="Arial" w:hAnsi="Arial" w:cs="Arial"/>
          <w:sz w:val="20"/>
        </w:rPr>
        <w:t>. This methodology should be further studied in the context of ACB spores' high thermal stability and its industrial relevance.</w:t>
      </w:r>
    </w:p>
    <w:p w14:paraId="73F99A91" w14:textId="77777777" w:rsidR="002B7363" w:rsidRPr="00644F86" w:rsidRDefault="002B7363" w:rsidP="00681242">
      <w:pPr>
        <w:jc w:val="both"/>
        <w:rPr>
          <w:rFonts w:ascii="Arial" w:hAnsi="Arial" w:cs="Arial"/>
          <w:sz w:val="20"/>
        </w:rPr>
      </w:pPr>
    </w:p>
    <w:p w14:paraId="7FF77483" w14:textId="05E0B1E5" w:rsidR="009A2171" w:rsidRPr="00644F86" w:rsidRDefault="00A57C0A" w:rsidP="00A57C0A">
      <w:pPr>
        <w:jc w:val="both"/>
        <w:rPr>
          <w:rFonts w:ascii="Arial" w:hAnsi="Arial" w:cs="Arial"/>
          <w:b/>
          <w:sz w:val="18"/>
          <w:szCs w:val="18"/>
        </w:rPr>
      </w:pPr>
      <w:r w:rsidRPr="00644F86">
        <w:rPr>
          <w:rFonts w:ascii="Arial" w:hAnsi="Arial" w:cs="Arial"/>
          <w:b/>
          <w:sz w:val="18"/>
          <w:szCs w:val="18"/>
        </w:rPr>
        <w:lastRenderedPageBreak/>
        <w:t>Acknowledgements</w:t>
      </w:r>
      <w:r w:rsidR="00277837" w:rsidRPr="00644F86">
        <w:rPr>
          <w:rFonts w:ascii="Arial" w:hAnsi="Arial" w:cs="Arial"/>
          <w:b/>
          <w:sz w:val="18"/>
          <w:szCs w:val="18"/>
        </w:rPr>
        <w:t xml:space="preserve"> and funding</w:t>
      </w:r>
    </w:p>
    <w:p w14:paraId="4E38CD92" w14:textId="77777777" w:rsidR="00214C73" w:rsidRPr="00644F86" w:rsidRDefault="00214C73" w:rsidP="00A57C0A">
      <w:pPr>
        <w:jc w:val="both"/>
        <w:rPr>
          <w:rFonts w:ascii="Arial" w:hAnsi="Arial" w:cs="Arial"/>
          <w:b/>
          <w:sz w:val="18"/>
          <w:szCs w:val="18"/>
        </w:rPr>
      </w:pPr>
    </w:p>
    <w:p w14:paraId="2C9BAB17" w14:textId="497DF5A7" w:rsidR="00A57C0A" w:rsidRPr="00644F86" w:rsidRDefault="00176A42" w:rsidP="00A57C0A">
      <w:pPr>
        <w:jc w:val="both"/>
        <w:rPr>
          <w:rFonts w:ascii="Arial" w:hAnsi="Arial" w:cs="Arial"/>
          <w:sz w:val="18"/>
          <w:szCs w:val="18"/>
        </w:rPr>
      </w:pPr>
      <w:proofErr w:type="spellStart"/>
      <w:r w:rsidRPr="00B54E3D">
        <w:rPr>
          <w:rFonts w:ascii="Arial" w:hAnsi="Arial" w:cs="Arial"/>
          <w:sz w:val="18"/>
          <w:szCs w:val="18"/>
          <w:lang w:val="pt-PT"/>
        </w:rPr>
        <w:t>This</w:t>
      </w:r>
      <w:proofErr w:type="spellEnd"/>
      <w:r w:rsidRPr="00B54E3D">
        <w:rPr>
          <w:rFonts w:ascii="Arial" w:hAnsi="Arial" w:cs="Arial"/>
          <w:sz w:val="18"/>
          <w:szCs w:val="18"/>
          <w:lang w:val="pt-PT"/>
        </w:rPr>
        <w:t xml:space="preserve"> </w:t>
      </w:r>
      <w:proofErr w:type="spellStart"/>
      <w:r w:rsidRPr="00B54E3D">
        <w:rPr>
          <w:rFonts w:ascii="Arial" w:hAnsi="Arial" w:cs="Arial"/>
          <w:sz w:val="18"/>
          <w:szCs w:val="18"/>
          <w:lang w:val="pt-PT"/>
        </w:rPr>
        <w:t>work</w:t>
      </w:r>
      <w:proofErr w:type="spellEnd"/>
      <w:r w:rsidRPr="00B54E3D">
        <w:rPr>
          <w:rFonts w:ascii="Arial" w:hAnsi="Arial" w:cs="Arial"/>
          <w:sz w:val="18"/>
          <w:szCs w:val="18"/>
          <w:lang w:val="pt-PT"/>
        </w:rPr>
        <w:t xml:space="preserve"> </w:t>
      </w:r>
      <w:proofErr w:type="spellStart"/>
      <w:r w:rsidRPr="00B54E3D">
        <w:rPr>
          <w:rFonts w:ascii="Arial" w:hAnsi="Arial" w:cs="Arial"/>
          <w:sz w:val="18"/>
          <w:szCs w:val="18"/>
          <w:lang w:val="pt-PT"/>
        </w:rPr>
        <w:t>received</w:t>
      </w:r>
      <w:proofErr w:type="spellEnd"/>
      <w:r w:rsidRPr="00B54E3D">
        <w:rPr>
          <w:rFonts w:ascii="Arial" w:hAnsi="Arial" w:cs="Arial"/>
          <w:sz w:val="18"/>
          <w:szCs w:val="18"/>
          <w:lang w:val="pt-PT"/>
        </w:rPr>
        <w:t xml:space="preserve"> </w:t>
      </w:r>
      <w:proofErr w:type="spellStart"/>
      <w:r w:rsidRPr="00B54E3D">
        <w:rPr>
          <w:rFonts w:ascii="Arial" w:hAnsi="Arial" w:cs="Arial"/>
          <w:sz w:val="18"/>
          <w:szCs w:val="18"/>
          <w:lang w:val="pt-PT"/>
        </w:rPr>
        <w:t>support</w:t>
      </w:r>
      <w:proofErr w:type="spellEnd"/>
      <w:r w:rsidRPr="00B54E3D">
        <w:rPr>
          <w:rFonts w:ascii="Arial" w:hAnsi="Arial" w:cs="Arial"/>
          <w:sz w:val="18"/>
          <w:szCs w:val="18"/>
          <w:lang w:val="pt-PT"/>
        </w:rPr>
        <w:t xml:space="preserve"> </w:t>
      </w:r>
      <w:proofErr w:type="spellStart"/>
      <w:r w:rsidRPr="00B54E3D">
        <w:rPr>
          <w:rFonts w:ascii="Arial" w:hAnsi="Arial" w:cs="Arial"/>
          <w:sz w:val="18"/>
          <w:szCs w:val="18"/>
          <w:lang w:val="pt-PT"/>
        </w:rPr>
        <w:t>from</w:t>
      </w:r>
      <w:proofErr w:type="spellEnd"/>
      <w:r w:rsidRPr="00B54E3D">
        <w:rPr>
          <w:rFonts w:ascii="Arial" w:hAnsi="Arial" w:cs="Arial"/>
          <w:sz w:val="18"/>
          <w:szCs w:val="18"/>
          <w:lang w:val="pt-PT"/>
        </w:rPr>
        <w:t xml:space="preserve"> the PT </w:t>
      </w:r>
      <w:proofErr w:type="spellStart"/>
      <w:r w:rsidRPr="00B54E3D">
        <w:rPr>
          <w:rFonts w:ascii="Arial" w:hAnsi="Arial" w:cs="Arial"/>
          <w:sz w:val="18"/>
          <w:szCs w:val="18"/>
          <w:lang w:val="pt-PT"/>
        </w:rPr>
        <w:t>national</w:t>
      </w:r>
      <w:proofErr w:type="spellEnd"/>
      <w:r w:rsidRPr="00B54E3D">
        <w:rPr>
          <w:rFonts w:ascii="Arial" w:hAnsi="Arial" w:cs="Arial"/>
          <w:sz w:val="18"/>
          <w:szCs w:val="18"/>
          <w:lang w:val="pt-PT"/>
        </w:rPr>
        <w:t xml:space="preserve"> </w:t>
      </w:r>
      <w:proofErr w:type="spellStart"/>
      <w:r w:rsidRPr="00B54E3D">
        <w:rPr>
          <w:rFonts w:ascii="Arial" w:hAnsi="Arial" w:cs="Arial"/>
          <w:sz w:val="18"/>
          <w:szCs w:val="18"/>
          <w:lang w:val="pt-PT"/>
        </w:rPr>
        <w:t>funds</w:t>
      </w:r>
      <w:proofErr w:type="spellEnd"/>
      <w:r w:rsidRPr="00B54E3D">
        <w:rPr>
          <w:rFonts w:ascii="Arial" w:hAnsi="Arial" w:cs="Arial"/>
          <w:sz w:val="18"/>
          <w:szCs w:val="18"/>
          <w:lang w:val="pt-PT"/>
        </w:rPr>
        <w:t xml:space="preserve"> (FCT/MECI, </w:t>
      </w:r>
      <w:r w:rsidRPr="00B54E3D">
        <w:rPr>
          <w:rFonts w:ascii="Arial" w:hAnsi="Arial" w:cs="Arial"/>
          <w:i/>
          <w:iCs/>
          <w:sz w:val="18"/>
          <w:szCs w:val="18"/>
          <w:lang w:val="pt-PT"/>
        </w:rPr>
        <w:t xml:space="preserve">Fundação para a Ciência e Tecnologia </w:t>
      </w:r>
      <w:proofErr w:type="spellStart"/>
      <w:r w:rsidRPr="00E252C9">
        <w:rPr>
          <w:rFonts w:ascii="Arial" w:hAnsi="Arial" w:cs="Arial"/>
          <w:sz w:val="18"/>
          <w:szCs w:val="18"/>
          <w:lang w:val="pt-PT"/>
        </w:rPr>
        <w:t>and</w:t>
      </w:r>
      <w:proofErr w:type="spellEnd"/>
      <w:r w:rsidRPr="00B54E3D">
        <w:rPr>
          <w:rFonts w:ascii="Arial" w:hAnsi="Arial" w:cs="Arial"/>
          <w:i/>
          <w:iCs/>
          <w:sz w:val="18"/>
          <w:szCs w:val="18"/>
          <w:lang w:val="pt-PT"/>
        </w:rPr>
        <w:t xml:space="preserve"> Ministério da Educação, Ciência e Inovação</w:t>
      </w:r>
      <w:r w:rsidRPr="00B54E3D">
        <w:rPr>
          <w:rFonts w:ascii="Arial" w:hAnsi="Arial" w:cs="Arial"/>
          <w:sz w:val="18"/>
          <w:szCs w:val="18"/>
          <w:lang w:val="pt-PT"/>
        </w:rPr>
        <w:t xml:space="preserve">) </w:t>
      </w:r>
      <w:proofErr w:type="spellStart"/>
      <w:r w:rsidRPr="00B54E3D">
        <w:rPr>
          <w:rFonts w:ascii="Arial" w:hAnsi="Arial" w:cs="Arial"/>
          <w:sz w:val="18"/>
          <w:szCs w:val="18"/>
          <w:lang w:val="pt-PT"/>
        </w:rPr>
        <w:t>through</w:t>
      </w:r>
      <w:proofErr w:type="spellEnd"/>
      <w:r w:rsidRPr="00B54E3D">
        <w:rPr>
          <w:rFonts w:ascii="Arial" w:hAnsi="Arial" w:cs="Arial"/>
          <w:sz w:val="18"/>
          <w:szCs w:val="18"/>
          <w:lang w:val="pt-PT"/>
        </w:rPr>
        <w:t xml:space="preserve"> the </w:t>
      </w:r>
      <w:proofErr w:type="spellStart"/>
      <w:r w:rsidRPr="00B54E3D">
        <w:rPr>
          <w:rFonts w:ascii="Arial" w:hAnsi="Arial" w:cs="Arial"/>
          <w:sz w:val="18"/>
          <w:szCs w:val="18"/>
          <w:lang w:val="pt-PT"/>
        </w:rPr>
        <w:t>project</w:t>
      </w:r>
      <w:proofErr w:type="spellEnd"/>
      <w:r w:rsidRPr="00B54E3D">
        <w:rPr>
          <w:rFonts w:ascii="Arial" w:hAnsi="Arial" w:cs="Arial"/>
          <w:sz w:val="18"/>
          <w:szCs w:val="18"/>
          <w:lang w:val="pt-PT"/>
        </w:rPr>
        <w:t xml:space="preserve"> UID/50006 </w:t>
      </w:r>
      <w:r w:rsidR="007A56D2" w:rsidRPr="00B54E3D">
        <w:rPr>
          <w:rFonts w:ascii="Arial" w:hAnsi="Arial" w:cs="Arial"/>
          <w:sz w:val="18"/>
          <w:szCs w:val="18"/>
          <w:lang w:val="pt-PT"/>
        </w:rPr>
        <w:t xml:space="preserve">– </w:t>
      </w:r>
      <w:r w:rsidRPr="00B54E3D">
        <w:rPr>
          <w:rFonts w:ascii="Arial" w:hAnsi="Arial" w:cs="Arial"/>
          <w:i/>
          <w:iCs/>
          <w:sz w:val="18"/>
          <w:szCs w:val="18"/>
          <w:lang w:val="pt-PT"/>
        </w:rPr>
        <w:t>Laboratório Associado para a Química Verde - Tecnologias e Processos Limpos</w:t>
      </w:r>
      <w:r w:rsidRPr="00B54E3D">
        <w:rPr>
          <w:rFonts w:ascii="Arial" w:hAnsi="Arial" w:cs="Arial"/>
          <w:sz w:val="18"/>
          <w:szCs w:val="18"/>
          <w:lang w:val="pt-PT"/>
        </w:rPr>
        <w:t xml:space="preserve">. </w:t>
      </w:r>
      <w:proofErr w:type="gramStart"/>
      <w:r w:rsidRPr="00644F86">
        <w:rPr>
          <w:rFonts w:ascii="Arial" w:hAnsi="Arial" w:cs="Arial"/>
          <w:sz w:val="18"/>
          <w:szCs w:val="18"/>
        </w:rPr>
        <w:t>Thanks</w:t>
      </w:r>
      <w:proofErr w:type="gramEnd"/>
      <w:r w:rsidRPr="00644F86">
        <w:rPr>
          <w:rFonts w:ascii="Arial" w:hAnsi="Arial" w:cs="Arial"/>
          <w:sz w:val="18"/>
          <w:szCs w:val="18"/>
        </w:rPr>
        <w:t xml:space="preserve"> are also due to the FCT/MCTES for the PhD fellowships of </w:t>
      </w:r>
      <w:r w:rsidR="0008649C" w:rsidRPr="00644F86">
        <w:rPr>
          <w:rFonts w:ascii="Arial" w:hAnsi="Arial" w:cs="Arial"/>
          <w:sz w:val="18"/>
          <w:szCs w:val="18"/>
        </w:rPr>
        <w:t xml:space="preserve">Carlos A. Pinto (SFRH/BD/137036/2018) and </w:t>
      </w:r>
      <w:r w:rsidRPr="00644F86">
        <w:rPr>
          <w:rFonts w:ascii="Arial" w:hAnsi="Arial" w:cs="Arial"/>
          <w:sz w:val="18"/>
          <w:szCs w:val="18"/>
        </w:rPr>
        <w:t xml:space="preserve">Alireza Mousakhani </w:t>
      </w:r>
      <w:proofErr w:type="spellStart"/>
      <w:r w:rsidRPr="00644F86">
        <w:rPr>
          <w:rFonts w:ascii="Arial" w:hAnsi="Arial" w:cs="Arial"/>
          <w:sz w:val="18"/>
          <w:szCs w:val="18"/>
        </w:rPr>
        <w:t>Ganjeh</w:t>
      </w:r>
      <w:proofErr w:type="spellEnd"/>
      <w:r w:rsidRPr="00644F86">
        <w:rPr>
          <w:rFonts w:ascii="Arial" w:hAnsi="Arial" w:cs="Arial"/>
          <w:sz w:val="18"/>
          <w:szCs w:val="18"/>
        </w:rPr>
        <w:t xml:space="preserve"> (</w:t>
      </w:r>
      <w:proofErr w:type="gramStart"/>
      <w:r w:rsidRPr="00644F86">
        <w:rPr>
          <w:rFonts w:ascii="Arial" w:hAnsi="Arial" w:cs="Arial"/>
          <w:sz w:val="18"/>
          <w:szCs w:val="18"/>
        </w:rPr>
        <w:t>2022.12558.BD</w:t>
      </w:r>
      <w:proofErr w:type="gramEnd"/>
      <w:r w:rsidR="0008649C" w:rsidRPr="00644F86">
        <w:rPr>
          <w:rFonts w:ascii="Arial" w:hAnsi="Arial" w:cs="Arial"/>
          <w:sz w:val="18"/>
          <w:szCs w:val="18"/>
        </w:rPr>
        <w:t>)</w:t>
      </w:r>
      <w:r w:rsidRPr="00644F86">
        <w:rPr>
          <w:rFonts w:ascii="Arial" w:hAnsi="Arial" w:cs="Arial"/>
          <w:sz w:val="18"/>
          <w:szCs w:val="18"/>
        </w:rPr>
        <w:t>.</w:t>
      </w:r>
      <w:r w:rsidR="007F13B3" w:rsidRPr="00644F86">
        <w:rPr>
          <w:rFonts w:ascii="Arial" w:hAnsi="Arial" w:cs="Arial"/>
          <w:sz w:val="18"/>
          <w:szCs w:val="18"/>
        </w:rPr>
        <w:t xml:space="preserve"> </w:t>
      </w:r>
      <w:r w:rsidR="00214C73" w:rsidRPr="00644F86">
        <w:rPr>
          <w:rFonts w:ascii="Arial" w:hAnsi="Arial" w:cs="Arial"/>
          <w:sz w:val="18"/>
          <w:szCs w:val="18"/>
        </w:rPr>
        <w:t xml:space="preserve">This study was funded by the </w:t>
      </w:r>
      <w:r w:rsidR="00214C73" w:rsidRPr="00CD68D5">
        <w:rPr>
          <w:rFonts w:ascii="Arial" w:hAnsi="Arial" w:cs="Arial"/>
          <w:i/>
          <w:iCs/>
          <w:sz w:val="18"/>
          <w:szCs w:val="18"/>
        </w:rPr>
        <w:t xml:space="preserve">PRR – Plano de </w:t>
      </w:r>
      <w:proofErr w:type="spellStart"/>
      <w:r w:rsidR="00214C73" w:rsidRPr="00CD68D5">
        <w:rPr>
          <w:rFonts w:ascii="Arial" w:hAnsi="Arial" w:cs="Arial"/>
          <w:i/>
          <w:iCs/>
          <w:sz w:val="18"/>
          <w:szCs w:val="18"/>
        </w:rPr>
        <w:t>Recuperação</w:t>
      </w:r>
      <w:proofErr w:type="spellEnd"/>
      <w:r w:rsidR="00214C73" w:rsidRPr="00CD68D5">
        <w:rPr>
          <w:rFonts w:ascii="Arial" w:hAnsi="Arial" w:cs="Arial"/>
          <w:i/>
          <w:iCs/>
          <w:sz w:val="18"/>
          <w:szCs w:val="18"/>
        </w:rPr>
        <w:t xml:space="preserve"> e </w:t>
      </w:r>
      <w:proofErr w:type="spellStart"/>
      <w:r w:rsidR="00214C73" w:rsidRPr="00CD68D5">
        <w:rPr>
          <w:rFonts w:ascii="Arial" w:hAnsi="Arial" w:cs="Arial"/>
          <w:i/>
          <w:iCs/>
          <w:sz w:val="18"/>
          <w:szCs w:val="18"/>
        </w:rPr>
        <w:t>Resiliência</w:t>
      </w:r>
      <w:proofErr w:type="spellEnd"/>
      <w:r w:rsidR="00214C73" w:rsidRPr="00644F86">
        <w:rPr>
          <w:rFonts w:ascii="Arial" w:hAnsi="Arial" w:cs="Arial"/>
          <w:sz w:val="18"/>
          <w:szCs w:val="18"/>
        </w:rPr>
        <w:t xml:space="preserve"> and by the </w:t>
      </w:r>
      <w:proofErr w:type="spellStart"/>
      <w:r w:rsidR="00214C73" w:rsidRPr="00644F86">
        <w:rPr>
          <w:rFonts w:ascii="Arial" w:hAnsi="Arial" w:cs="Arial"/>
          <w:sz w:val="18"/>
          <w:szCs w:val="18"/>
        </w:rPr>
        <w:t>NextGenerationEU</w:t>
      </w:r>
      <w:proofErr w:type="spellEnd"/>
      <w:r w:rsidR="00214C73" w:rsidRPr="00644F86">
        <w:rPr>
          <w:rFonts w:ascii="Arial" w:hAnsi="Arial" w:cs="Arial"/>
          <w:sz w:val="18"/>
          <w:szCs w:val="18"/>
        </w:rPr>
        <w:t xml:space="preserve"> funds at </w:t>
      </w:r>
      <w:r w:rsidR="00214C73" w:rsidRPr="00CD68D5">
        <w:rPr>
          <w:rFonts w:ascii="Arial" w:hAnsi="Arial" w:cs="Arial"/>
          <w:i/>
          <w:iCs/>
          <w:sz w:val="18"/>
          <w:szCs w:val="18"/>
        </w:rPr>
        <w:t>Universidade de Aveiro</w:t>
      </w:r>
      <w:r w:rsidR="00214C73" w:rsidRPr="00644F86">
        <w:rPr>
          <w:rFonts w:ascii="Arial" w:hAnsi="Arial" w:cs="Arial"/>
          <w:sz w:val="18"/>
          <w:szCs w:val="18"/>
        </w:rPr>
        <w:t>, through the scope of the Agenda for Business Innovation “</w:t>
      </w:r>
      <w:r w:rsidR="00214C73" w:rsidRPr="00CD68D5">
        <w:rPr>
          <w:rFonts w:ascii="Arial" w:hAnsi="Arial" w:cs="Arial"/>
          <w:i/>
          <w:iCs/>
          <w:sz w:val="18"/>
          <w:szCs w:val="18"/>
        </w:rPr>
        <w:t xml:space="preserve">Plataforma de </w:t>
      </w:r>
      <w:proofErr w:type="spellStart"/>
      <w:r w:rsidR="00214C73" w:rsidRPr="00CD68D5">
        <w:rPr>
          <w:rFonts w:ascii="Arial" w:hAnsi="Arial" w:cs="Arial"/>
          <w:i/>
          <w:iCs/>
          <w:sz w:val="18"/>
          <w:szCs w:val="18"/>
        </w:rPr>
        <w:t>Valorização</w:t>
      </w:r>
      <w:proofErr w:type="spellEnd"/>
      <w:r w:rsidR="00214C73" w:rsidRPr="00CD68D5">
        <w:rPr>
          <w:rFonts w:ascii="Arial" w:hAnsi="Arial" w:cs="Arial"/>
          <w:i/>
          <w:iCs/>
          <w:sz w:val="18"/>
          <w:szCs w:val="18"/>
        </w:rPr>
        <w:t xml:space="preserve">, </w:t>
      </w:r>
      <w:proofErr w:type="spellStart"/>
      <w:r w:rsidR="00214C73" w:rsidRPr="00CD68D5">
        <w:rPr>
          <w:rFonts w:ascii="Arial" w:hAnsi="Arial" w:cs="Arial"/>
          <w:i/>
          <w:iCs/>
          <w:sz w:val="18"/>
          <w:szCs w:val="18"/>
        </w:rPr>
        <w:t>Industrialização</w:t>
      </w:r>
      <w:proofErr w:type="spellEnd"/>
      <w:r w:rsidR="00214C73" w:rsidRPr="00CD68D5">
        <w:rPr>
          <w:rFonts w:ascii="Arial" w:hAnsi="Arial" w:cs="Arial"/>
          <w:i/>
          <w:iCs/>
          <w:sz w:val="18"/>
          <w:szCs w:val="18"/>
        </w:rPr>
        <w:t xml:space="preserve"> e </w:t>
      </w:r>
      <w:proofErr w:type="spellStart"/>
      <w:r w:rsidR="00214C73" w:rsidRPr="00CD68D5">
        <w:rPr>
          <w:rFonts w:ascii="Arial" w:hAnsi="Arial" w:cs="Arial"/>
          <w:i/>
          <w:iCs/>
          <w:sz w:val="18"/>
          <w:szCs w:val="18"/>
        </w:rPr>
        <w:t>Inovação</w:t>
      </w:r>
      <w:proofErr w:type="spellEnd"/>
      <w:r w:rsidR="00214C73" w:rsidRPr="00CD68D5">
        <w:rPr>
          <w:rFonts w:ascii="Arial" w:hAnsi="Arial" w:cs="Arial"/>
          <w:i/>
          <w:iCs/>
          <w:sz w:val="18"/>
          <w:szCs w:val="18"/>
        </w:rPr>
        <w:t xml:space="preserve"> </w:t>
      </w:r>
      <w:proofErr w:type="spellStart"/>
      <w:r w:rsidR="00214C73" w:rsidRPr="00CD68D5">
        <w:rPr>
          <w:rFonts w:ascii="Arial" w:hAnsi="Arial" w:cs="Arial"/>
          <w:i/>
          <w:iCs/>
          <w:sz w:val="18"/>
          <w:szCs w:val="18"/>
        </w:rPr>
        <w:t>comercial</w:t>
      </w:r>
      <w:proofErr w:type="spellEnd"/>
      <w:r w:rsidR="00214C73" w:rsidRPr="00CD68D5">
        <w:rPr>
          <w:rFonts w:ascii="Arial" w:hAnsi="Arial" w:cs="Arial"/>
          <w:i/>
          <w:iCs/>
          <w:sz w:val="18"/>
          <w:szCs w:val="18"/>
        </w:rPr>
        <w:t xml:space="preserve"> para o </w:t>
      </w:r>
      <w:proofErr w:type="spellStart"/>
      <w:r w:rsidR="00214C73" w:rsidRPr="00CD68D5">
        <w:rPr>
          <w:rFonts w:ascii="Arial" w:hAnsi="Arial" w:cs="Arial"/>
          <w:i/>
          <w:iCs/>
          <w:sz w:val="18"/>
          <w:szCs w:val="18"/>
        </w:rPr>
        <w:t>AgroAlimentar</w:t>
      </w:r>
      <w:proofErr w:type="spellEnd"/>
      <w:r w:rsidR="00214C73" w:rsidRPr="00644F86">
        <w:rPr>
          <w:rFonts w:ascii="Arial" w:hAnsi="Arial" w:cs="Arial"/>
          <w:sz w:val="18"/>
          <w:szCs w:val="18"/>
        </w:rPr>
        <w:t xml:space="preserve"> (VIIAFOOD)” (Project no. 37 AAC nº 02/C05-i01/2022 with the application C644929456-00000040).</w:t>
      </w:r>
    </w:p>
    <w:p w14:paraId="3C5D6E4B" w14:textId="77777777" w:rsidR="00176A42" w:rsidRPr="00644F86" w:rsidRDefault="00176A42" w:rsidP="00A57C0A">
      <w:pPr>
        <w:jc w:val="both"/>
        <w:rPr>
          <w:rFonts w:ascii="Arial" w:hAnsi="Arial" w:cs="Arial"/>
          <w:sz w:val="18"/>
          <w:szCs w:val="18"/>
        </w:rPr>
      </w:pPr>
    </w:p>
    <w:p w14:paraId="7783F9E5" w14:textId="77777777" w:rsidR="00176A42" w:rsidRPr="00644F86" w:rsidRDefault="00176A42" w:rsidP="00A57C0A">
      <w:pPr>
        <w:jc w:val="both"/>
        <w:rPr>
          <w:rFonts w:ascii="Arial" w:hAnsi="Arial" w:cs="Arial"/>
          <w:sz w:val="18"/>
          <w:szCs w:val="18"/>
        </w:rPr>
      </w:pPr>
    </w:p>
    <w:p w14:paraId="25440CCA" w14:textId="200E382C" w:rsidR="009C6183" w:rsidRPr="00644F86" w:rsidRDefault="00A57C0A" w:rsidP="007F13B3">
      <w:pPr>
        <w:jc w:val="both"/>
        <w:rPr>
          <w:rFonts w:ascii="Arial" w:hAnsi="Arial" w:cs="Arial"/>
          <w:sz w:val="18"/>
          <w:szCs w:val="18"/>
        </w:rPr>
      </w:pPr>
      <w:r w:rsidRPr="00644F86">
        <w:rPr>
          <w:rFonts w:ascii="Arial" w:hAnsi="Arial" w:cs="Arial"/>
          <w:b/>
          <w:sz w:val="18"/>
          <w:szCs w:val="18"/>
        </w:rPr>
        <w:t>References</w:t>
      </w:r>
    </w:p>
    <w:p w14:paraId="13047634" w14:textId="77777777" w:rsidR="007F13B3" w:rsidRPr="00644F86" w:rsidRDefault="007F13B3" w:rsidP="00636BCC">
      <w:pPr>
        <w:jc w:val="both"/>
        <w:rPr>
          <w:rFonts w:ascii="Arial" w:hAnsi="Arial" w:cs="Arial"/>
          <w:sz w:val="18"/>
          <w:szCs w:val="18"/>
        </w:rPr>
      </w:pPr>
    </w:p>
    <w:p w14:paraId="1DE2DC4D" w14:textId="4B9DB54B" w:rsidR="00EB280D" w:rsidRPr="00EB280D" w:rsidRDefault="00EB280D" w:rsidP="00EB280D">
      <w:pPr>
        <w:pStyle w:val="Bibliografia"/>
        <w:numPr>
          <w:ilvl w:val="0"/>
          <w:numId w:val="4"/>
        </w:numPr>
        <w:spacing w:after="240"/>
        <w:jc w:val="both"/>
        <w:rPr>
          <w:rFonts w:ascii="Arial" w:hAnsi="Arial" w:cs="Arial"/>
          <w:sz w:val="18"/>
          <w:szCs w:val="14"/>
        </w:rPr>
      </w:pPr>
      <w:r w:rsidRPr="00EB280D">
        <w:rPr>
          <w:rFonts w:ascii="Arial" w:hAnsi="Arial" w:cs="Arial"/>
          <w:sz w:val="18"/>
          <w:szCs w:val="14"/>
        </w:rPr>
        <w:t xml:space="preserve">Reineke, K. &amp; Mathys, A. Endospore inactivation by emerging technologies: a review of target structures and inactivation mechanisms. </w:t>
      </w:r>
      <w:r w:rsidRPr="00EB280D">
        <w:rPr>
          <w:rFonts w:ascii="Arial" w:hAnsi="Arial" w:cs="Arial"/>
          <w:i/>
          <w:iCs/>
          <w:sz w:val="18"/>
          <w:szCs w:val="14"/>
        </w:rPr>
        <w:t>Annu. Rev. Food Sci. Technol.</w:t>
      </w:r>
      <w:r w:rsidRPr="00EB280D">
        <w:rPr>
          <w:rFonts w:ascii="Arial" w:hAnsi="Arial" w:cs="Arial"/>
          <w:sz w:val="18"/>
          <w:szCs w:val="14"/>
        </w:rPr>
        <w:t xml:space="preserve"> </w:t>
      </w:r>
      <w:r w:rsidRPr="00EB280D">
        <w:rPr>
          <w:rFonts w:ascii="Arial" w:hAnsi="Arial" w:cs="Arial"/>
          <w:b/>
          <w:bCs/>
          <w:sz w:val="18"/>
          <w:szCs w:val="14"/>
        </w:rPr>
        <w:t>11</w:t>
      </w:r>
      <w:r w:rsidRPr="00EB280D">
        <w:rPr>
          <w:rFonts w:ascii="Arial" w:hAnsi="Arial" w:cs="Arial"/>
          <w:sz w:val="18"/>
          <w:szCs w:val="14"/>
        </w:rPr>
        <w:t>, annurev-food-032519-051632 (2020).</w:t>
      </w:r>
    </w:p>
    <w:p w14:paraId="232A40C1" w14:textId="371744B6" w:rsidR="00EB280D" w:rsidRPr="00EB280D" w:rsidRDefault="00EB280D" w:rsidP="00EB280D">
      <w:pPr>
        <w:pStyle w:val="Bibliografia"/>
        <w:numPr>
          <w:ilvl w:val="0"/>
          <w:numId w:val="4"/>
        </w:numPr>
        <w:spacing w:after="240"/>
        <w:jc w:val="both"/>
        <w:rPr>
          <w:rFonts w:ascii="Arial" w:hAnsi="Arial" w:cs="Arial"/>
          <w:sz w:val="18"/>
          <w:szCs w:val="14"/>
        </w:rPr>
      </w:pPr>
      <w:r w:rsidRPr="00EB280D">
        <w:rPr>
          <w:rFonts w:ascii="Arial" w:hAnsi="Arial" w:cs="Arial"/>
          <w:sz w:val="18"/>
          <w:szCs w:val="14"/>
        </w:rPr>
        <w:t xml:space="preserve">Hu, X., Huang, E., Barringer, S. A. &amp; Yousef, A. E. Factors affecting </w:t>
      </w:r>
      <w:r w:rsidRPr="00EB280D">
        <w:rPr>
          <w:rFonts w:ascii="Arial" w:hAnsi="Arial" w:cs="Arial"/>
          <w:i/>
          <w:iCs/>
          <w:sz w:val="18"/>
          <w:szCs w:val="14"/>
        </w:rPr>
        <w:t xml:space="preserve">Alicyclobacillus </w:t>
      </w:r>
      <w:proofErr w:type="spellStart"/>
      <w:r w:rsidRPr="00EB280D">
        <w:rPr>
          <w:rFonts w:ascii="Arial" w:hAnsi="Arial" w:cs="Arial"/>
          <w:i/>
          <w:iCs/>
          <w:sz w:val="18"/>
          <w:szCs w:val="14"/>
        </w:rPr>
        <w:t>acidoterrestris</w:t>
      </w:r>
      <w:proofErr w:type="spellEnd"/>
      <w:r w:rsidRPr="00EB280D">
        <w:rPr>
          <w:rFonts w:ascii="Arial" w:hAnsi="Arial" w:cs="Arial"/>
          <w:sz w:val="18"/>
          <w:szCs w:val="14"/>
        </w:rPr>
        <w:t xml:space="preserve"> growth and guaiacol production and controlling apple juice spoilage by lauric </w:t>
      </w:r>
      <w:proofErr w:type="spellStart"/>
      <w:r w:rsidRPr="00EB280D">
        <w:rPr>
          <w:rFonts w:ascii="Arial" w:hAnsi="Arial" w:cs="Arial"/>
          <w:sz w:val="18"/>
          <w:szCs w:val="14"/>
        </w:rPr>
        <w:t>arginate</w:t>
      </w:r>
      <w:proofErr w:type="spellEnd"/>
      <w:r w:rsidRPr="00EB280D">
        <w:rPr>
          <w:rFonts w:ascii="Arial" w:hAnsi="Arial" w:cs="Arial"/>
          <w:sz w:val="18"/>
          <w:szCs w:val="14"/>
        </w:rPr>
        <w:t xml:space="preserve"> and ϵ-</w:t>
      </w:r>
      <w:proofErr w:type="spellStart"/>
      <w:r w:rsidRPr="00EB280D">
        <w:rPr>
          <w:rFonts w:ascii="Arial" w:hAnsi="Arial" w:cs="Arial"/>
          <w:sz w:val="18"/>
          <w:szCs w:val="14"/>
        </w:rPr>
        <w:t>polylysine</w:t>
      </w:r>
      <w:proofErr w:type="spellEnd"/>
      <w:r w:rsidRPr="00EB280D">
        <w:rPr>
          <w:rFonts w:ascii="Arial" w:hAnsi="Arial" w:cs="Arial"/>
          <w:sz w:val="18"/>
          <w:szCs w:val="14"/>
        </w:rPr>
        <w:t xml:space="preserve">. </w:t>
      </w:r>
      <w:r w:rsidRPr="00EB280D">
        <w:rPr>
          <w:rFonts w:ascii="Arial" w:hAnsi="Arial" w:cs="Arial"/>
          <w:i/>
          <w:iCs/>
          <w:sz w:val="18"/>
          <w:szCs w:val="14"/>
        </w:rPr>
        <w:t>LWT</w:t>
      </w:r>
      <w:r w:rsidRPr="00EB280D">
        <w:rPr>
          <w:rFonts w:ascii="Arial" w:hAnsi="Arial" w:cs="Arial"/>
          <w:sz w:val="18"/>
          <w:szCs w:val="14"/>
        </w:rPr>
        <w:t xml:space="preserve"> </w:t>
      </w:r>
      <w:r w:rsidRPr="00EB280D">
        <w:rPr>
          <w:rFonts w:ascii="Arial" w:hAnsi="Arial" w:cs="Arial"/>
          <w:b/>
          <w:bCs/>
          <w:sz w:val="18"/>
          <w:szCs w:val="14"/>
        </w:rPr>
        <w:t>119</w:t>
      </w:r>
      <w:r w:rsidRPr="00EB280D">
        <w:rPr>
          <w:rFonts w:ascii="Arial" w:hAnsi="Arial" w:cs="Arial"/>
          <w:sz w:val="18"/>
          <w:szCs w:val="14"/>
        </w:rPr>
        <w:t>, 108883 (2020).</w:t>
      </w:r>
    </w:p>
    <w:p w14:paraId="2702EA3B" w14:textId="03F6B1A5" w:rsidR="00EB280D" w:rsidRPr="00EB280D" w:rsidRDefault="00EB280D" w:rsidP="00EB280D">
      <w:pPr>
        <w:pStyle w:val="Bibliografia"/>
        <w:numPr>
          <w:ilvl w:val="0"/>
          <w:numId w:val="4"/>
        </w:numPr>
        <w:spacing w:after="240"/>
        <w:jc w:val="both"/>
        <w:rPr>
          <w:rFonts w:ascii="Arial" w:hAnsi="Arial" w:cs="Arial"/>
          <w:sz w:val="18"/>
          <w:szCs w:val="14"/>
        </w:rPr>
      </w:pPr>
      <w:r w:rsidRPr="00EB280D">
        <w:rPr>
          <w:rFonts w:ascii="Arial" w:hAnsi="Arial" w:cs="Arial"/>
          <w:sz w:val="18"/>
          <w:szCs w:val="14"/>
        </w:rPr>
        <w:t xml:space="preserve">Al-Ghamdi, S., Sonar, C. R., Patel, J., </w:t>
      </w:r>
      <w:proofErr w:type="spellStart"/>
      <w:r w:rsidRPr="00EB280D">
        <w:rPr>
          <w:rFonts w:ascii="Arial" w:hAnsi="Arial" w:cs="Arial"/>
          <w:sz w:val="18"/>
          <w:szCs w:val="14"/>
        </w:rPr>
        <w:t>Albahr</w:t>
      </w:r>
      <w:proofErr w:type="spellEnd"/>
      <w:r w:rsidRPr="00EB280D">
        <w:rPr>
          <w:rFonts w:ascii="Arial" w:hAnsi="Arial" w:cs="Arial"/>
          <w:sz w:val="18"/>
          <w:szCs w:val="14"/>
        </w:rPr>
        <w:t xml:space="preserve">, Z. &amp; </w:t>
      </w:r>
      <w:proofErr w:type="spellStart"/>
      <w:r w:rsidRPr="00EB280D">
        <w:rPr>
          <w:rFonts w:ascii="Arial" w:hAnsi="Arial" w:cs="Arial"/>
          <w:sz w:val="18"/>
          <w:szCs w:val="14"/>
        </w:rPr>
        <w:t>Sablani</w:t>
      </w:r>
      <w:proofErr w:type="spellEnd"/>
      <w:r w:rsidRPr="00EB280D">
        <w:rPr>
          <w:rFonts w:ascii="Arial" w:hAnsi="Arial" w:cs="Arial"/>
          <w:sz w:val="18"/>
          <w:szCs w:val="14"/>
        </w:rPr>
        <w:t xml:space="preserve">, S. S. High pressure-assisted thermal sterilization of low-acid fruit and vegetable purees: microbial safety, nutrient, quality, and packaging evaluation. </w:t>
      </w:r>
      <w:r w:rsidRPr="00EB280D">
        <w:rPr>
          <w:rFonts w:ascii="Arial" w:hAnsi="Arial" w:cs="Arial"/>
          <w:i/>
          <w:iCs/>
          <w:sz w:val="18"/>
          <w:szCs w:val="14"/>
        </w:rPr>
        <w:t>Food Control</w:t>
      </w:r>
      <w:r w:rsidRPr="00EB280D">
        <w:rPr>
          <w:rFonts w:ascii="Arial" w:hAnsi="Arial" w:cs="Arial"/>
          <w:sz w:val="18"/>
          <w:szCs w:val="14"/>
        </w:rPr>
        <w:t xml:space="preserve"> </w:t>
      </w:r>
      <w:r w:rsidRPr="00EB280D">
        <w:rPr>
          <w:rFonts w:ascii="Arial" w:hAnsi="Arial" w:cs="Arial"/>
          <w:b/>
          <w:bCs/>
          <w:sz w:val="18"/>
          <w:szCs w:val="14"/>
        </w:rPr>
        <w:t>114</w:t>
      </w:r>
      <w:r w:rsidRPr="00EB280D">
        <w:rPr>
          <w:rFonts w:ascii="Arial" w:hAnsi="Arial" w:cs="Arial"/>
          <w:sz w:val="18"/>
          <w:szCs w:val="14"/>
        </w:rPr>
        <w:t>, 107233 (2020).</w:t>
      </w:r>
    </w:p>
    <w:p w14:paraId="1E195B6E" w14:textId="7B922E0B" w:rsidR="009E572A" w:rsidRPr="00652CC0" w:rsidRDefault="009E572A" w:rsidP="006E0138">
      <w:pPr>
        <w:pStyle w:val="Bibliografia"/>
        <w:jc w:val="both"/>
        <w:rPr>
          <w:rFonts w:ascii="Arial" w:hAnsi="Arial" w:cs="Arial"/>
        </w:rPr>
      </w:pPr>
    </w:p>
    <w:sectPr w:rsidR="009E572A" w:rsidRPr="00652CC0" w:rsidSect="00E36A1D">
      <w:headerReference w:type="default" r:id="rId11"/>
      <w:type w:val="continuous"/>
      <w:pgSz w:w="11900" w:h="16840" w:code="9"/>
      <w:pgMar w:top="1649" w:right="1134" w:bottom="1134" w:left="1134" w:header="283"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F0CFC" w14:textId="77777777" w:rsidR="001837E6" w:rsidRPr="00644F86" w:rsidRDefault="001837E6" w:rsidP="002B224A">
      <w:r w:rsidRPr="00644F86">
        <w:separator/>
      </w:r>
    </w:p>
  </w:endnote>
  <w:endnote w:type="continuationSeparator" w:id="0">
    <w:p w14:paraId="3ADCF335" w14:textId="77777777" w:rsidR="001837E6" w:rsidRPr="00644F86" w:rsidRDefault="001837E6" w:rsidP="002B224A">
      <w:r w:rsidRPr="00644F8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5EE1F" w14:textId="77777777" w:rsidR="001837E6" w:rsidRPr="00644F86" w:rsidRDefault="001837E6" w:rsidP="002B224A">
      <w:r w:rsidRPr="00644F86">
        <w:separator/>
      </w:r>
    </w:p>
  </w:footnote>
  <w:footnote w:type="continuationSeparator" w:id="0">
    <w:p w14:paraId="502DA782" w14:textId="77777777" w:rsidR="001837E6" w:rsidRPr="00644F86" w:rsidRDefault="001837E6" w:rsidP="002B224A">
      <w:r w:rsidRPr="00644F8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EF3A1" w14:textId="030402F3" w:rsidR="002B224A" w:rsidRPr="00644F86" w:rsidRDefault="00BC58C0" w:rsidP="003126E8">
    <w:pPr>
      <w:jc w:val="center"/>
      <w:rPr>
        <w:b/>
        <w:bCs/>
        <w:sz w:val="18"/>
        <w:szCs w:val="18"/>
      </w:rPr>
    </w:pPr>
    <w:r w:rsidRPr="00644F86">
      <w:rPr>
        <w:b/>
        <w:bCs/>
        <w:noProof/>
        <w:sz w:val="18"/>
        <w:szCs w:val="18"/>
      </w:rPr>
      <w:drawing>
        <wp:inline distT="0" distB="0" distL="0" distR="0" wp14:anchorId="4BF1E58A" wp14:editId="6302D1A2">
          <wp:extent cx="2803712" cy="743223"/>
          <wp:effectExtent l="0" t="0" r="0" b="0"/>
          <wp:docPr id="170885044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2228" cy="779941"/>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947680"/>
    <w:multiLevelType w:val="multilevel"/>
    <w:tmpl w:val="AE26765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29887B61"/>
    <w:multiLevelType w:val="hybridMultilevel"/>
    <w:tmpl w:val="1DD01928"/>
    <w:lvl w:ilvl="0" w:tplc="F016337A">
      <w:numFmt w:val="bullet"/>
      <w:lvlText w:val="-"/>
      <w:lvlJc w:val="left"/>
      <w:pPr>
        <w:ind w:left="720" w:hanging="360"/>
      </w:pPr>
      <w:rPr>
        <w:rFonts w:ascii="Helvetica Neue" w:eastAsia="Times New Roman" w:hAnsi="Helvetica Neue" w:cs="Times New Roman" w:hint="default"/>
        <w:color w:val="212529"/>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3DB9348B"/>
    <w:multiLevelType w:val="hybridMultilevel"/>
    <w:tmpl w:val="6DCEEC9E"/>
    <w:lvl w:ilvl="0" w:tplc="48A8BE48">
      <w:start w:val="1"/>
      <w:numFmt w:val="decimal"/>
      <w:lvlText w:val="[%1]."/>
      <w:lvlJc w:val="left"/>
      <w:pPr>
        <w:ind w:left="360" w:hanging="360"/>
      </w:pPr>
      <w:rPr>
        <w:sz w:val="18"/>
        <w:vertAlign w:val="baseline"/>
      </w:rPr>
    </w:lvl>
    <w:lvl w:ilvl="1" w:tplc="08160019">
      <w:start w:val="1"/>
      <w:numFmt w:val="lowerLetter"/>
      <w:lvlText w:val="%2."/>
      <w:lvlJc w:val="left"/>
      <w:pPr>
        <w:ind w:left="1080" w:hanging="360"/>
      </w:pPr>
    </w:lvl>
    <w:lvl w:ilvl="2" w:tplc="0816001B">
      <w:start w:val="1"/>
      <w:numFmt w:val="lowerRoman"/>
      <w:lvlText w:val="%3."/>
      <w:lvlJc w:val="right"/>
      <w:pPr>
        <w:ind w:left="1800" w:hanging="180"/>
      </w:pPr>
    </w:lvl>
    <w:lvl w:ilvl="3" w:tplc="0816000F">
      <w:start w:val="1"/>
      <w:numFmt w:val="decimal"/>
      <w:lvlText w:val="%4."/>
      <w:lvlJc w:val="left"/>
      <w:pPr>
        <w:ind w:left="2520" w:hanging="360"/>
      </w:pPr>
    </w:lvl>
    <w:lvl w:ilvl="4" w:tplc="08160019">
      <w:start w:val="1"/>
      <w:numFmt w:val="lowerLetter"/>
      <w:lvlText w:val="%5."/>
      <w:lvlJc w:val="left"/>
      <w:pPr>
        <w:ind w:left="3240" w:hanging="360"/>
      </w:pPr>
    </w:lvl>
    <w:lvl w:ilvl="5" w:tplc="0816001B">
      <w:start w:val="1"/>
      <w:numFmt w:val="lowerRoman"/>
      <w:lvlText w:val="%6."/>
      <w:lvlJc w:val="right"/>
      <w:pPr>
        <w:ind w:left="3960" w:hanging="180"/>
      </w:pPr>
    </w:lvl>
    <w:lvl w:ilvl="6" w:tplc="0816000F">
      <w:start w:val="1"/>
      <w:numFmt w:val="decimal"/>
      <w:lvlText w:val="%7."/>
      <w:lvlJc w:val="left"/>
      <w:pPr>
        <w:ind w:left="4680" w:hanging="360"/>
      </w:pPr>
    </w:lvl>
    <w:lvl w:ilvl="7" w:tplc="08160019">
      <w:start w:val="1"/>
      <w:numFmt w:val="lowerLetter"/>
      <w:lvlText w:val="%8."/>
      <w:lvlJc w:val="left"/>
      <w:pPr>
        <w:ind w:left="5400" w:hanging="360"/>
      </w:pPr>
    </w:lvl>
    <w:lvl w:ilvl="8" w:tplc="0816001B">
      <w:start w:val="1"/>
      <w:numFmt w:val="lowerRoman"/>
      <w:lvlText w:val="%9."/>
      <w:lvlJc w:val="right"/>
      <w:pPr>
        <w:ind w:left="6120" w:hanging="180"/>
      </w:pPr>
    </w:lvl>
  </w:abstractNum>
  <w:abstractNum w:abstractNumId="3" w15:restartNumberingAfterBreak="0">
    <w:nsid w:val="56287D9A"/>
    <w:multiLevelType w:val="hybridMultilevel"/>
    <w:tmpl w:val="CB2282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40716754">
    <w:abstractNumId w:val="1"/>
  </w:num>
  <w:num w:numId="2" w16cid:durableId="2824221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4104174">
    <w:abstractNumId w:val="0"/>
  </w:num>
  <w:num w:numId="4" w16cid:durableId="12742401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IxMzczMbUwtzA1NzJS0lEKTi0uzszPAykwrAUAtsYJZywAAAA="/>
    <w:docVar w:name="EN.InstantFormat" w:val="&lt;ENInstantFormat&gt;&lt;Enabled&gt;1&lt;/Enabled&gt;&lt;ScanUnformatted&gt;1&lt;/ScanUnformatted&gt;&lt;ScanChanges&gt;1&lt;/ScanChanges&gt;&lt;/ENInstantFormat&gt;"/>
    <w:docVar w:name="EN.Layout" w:val="&lt;ENLayout&gt;&lt;Style&gt;AC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ListePublisClaude-Converted.enl&lt;/item&gt;&lt;/Libraries&gt;&lt;/ENLibraries&gt;"/>
  </w:docVars>
  <w:rsids>
    <w:rsidRoot w:val="003B217F"/>
    <w:rsid w:val="000021CA"/>
    <w:rsid w:val="00012E23"/>
    <w:rsid w:val="0002443F"/>
    <w:rsid w:val="00032640"/>
    <w:rsid w:val="0003313A"/>
    <w:rsid w:val="0004095B"/>
    <w:rsid w:val="00082028"/>
    <w:rsid w:val="00082727"/>
    <w:rsid w:val="0008649C"/>
    <w:rsid w:val="00087E5B"/>
    <w:rsid w:val="000C2F09"/>
    <w:rsid w:val="000C6765"/>
    <w:rsid w:val="000D07B6"/>
    <w:rsid w:val="000D09A7"/>
    <w:rsid w:val="000D5DC8"/>
    <w:rsid w:val="00120644"/>
    <w:rsid w:val="00166469"/>
    <w:rsid w:val="00176A42"/>
    <w:rsid w:val="001837E6"/>
    <w:rsid w:val="00187EA5"/>
    <w:rsid w:val="001C0B54"/>
    <w:rsid w:val="001C1667"/>
    <w:rsid w:val="001D012B"/>
    <w:rsid w:val="001F06F9"/>
    <w:rsid w:val="001F5791"/>
    <w:rsid w:val="00214C73"/>
    <w:rsid w:val="0025002A"/>
    <w:rsid w:val="002510DA"/>
    <w:rsid w:val="00256AD1"/>
    <w:rsid w:val="00262A26"/>
    <w:rsid w:val="00277837"/>
    <w:rsid w:val="002949BA"/>
    <w:rsid w:val="002A09EA"/>
    <w:rsid w:val="002B224A"/>
    <w:rsid w:val="002B7363"/>
    <w:rsid w:val="002E0ABC"/>
    <w:rsid w:val="002E3C9B"/>
    <w:rsid w:val="003126E8"/>
    <w:rsid w:val="003560FF"/>
    <w:rsid w:val="00363D89"/>
    <w:rsid w:val="00367032"/>
    <w:rsid w:val="0037084A"/>
    <w:rsid w:val="003820CB"/>
    <w:rsid w:val="003B217F"/>
    <w:rsid w:val="003B76AD"/>
    <w:rsid w:val="003F3001"/>
    <w:rsid w:val="003F6116"/>
    <w:rsid w:val="004268C9"/>
    <w:rsid w:val="004411B8"/>
    <w:rsid w:val="0045776C"/>
    <w:rsid w:val="004731E7"/>
    <w:rsid w:val="004B0895"/>
    <w:rsid w:val="004F7557"/>
    <w:rsid w:val="00503E8B"/>
    <w:rsid w:val="00522961"/>
    <w:rsid w:val="00523B57"/>
    <w:rsid w:val="00541FDD"/>
    <w:rsid w:val="00560387"/>
    <w:rsid w:val="00574157"/>
    <w:rsid w:val="005C1FD6"/>
    <w:rsid w:val="005C5D50"/>
    <w:rsid w:val="005F3FF4"/>
    <w:rsid w:val="006071D2"/>
    <w:rsid w:val="006346D5"/>
    <w:rsid w:val="00636BCC"/>
    <w:rsid w:val="00644F86"/>
    <w:rsid w:val="00652CC0"/>
    <w:rsid w:val="006703BA"/>
    <w:rsid w:val="00676C62"/>
    <w:rsid w:val="00681242"/>
    <w:rsid w:val="006A1CDB"/>
    <w:rsid w:val="006B56E5"/>
    <w:rsid w:val="006D2041"/>
    <w:rsid w:val="006E0138"/>
    <w:rsid w:val="006E6A2C"/>
    <w:rsid w:val="007118B4"/>
    <w:rsid w:val="007422C4"/>
    <w:rsid w:val="007622B5"/>
    <w:rsid w:val="00773FA1"/>
    <w:rsid w:val="007A0F9F"/>
    <w:rsid w:val="007A56D2"/>
    <w:rsid w:val="007B71E6"/>
    <w:rsid w:val="007E0D69"/>
    <w:rsid w:val="007E3483"/>
    <w:rsid w:val="007E73C0"/>
    <w:rsid w:val="007F13B3"/>
    <w:rsid w:val="0082197B"/>
    <w:rsid w:val="0085122D"/>
    <w:rsid w:val="008549F7"/>
    <w:rsid w:val="00922224"/>
    <w:rsid w:val="009400EE"/>
    <w:rsid w:val="00975FF4"/>
    <w:rsid w:val="00983EBB"/>
    <w:rsid w:val="009A2171"/>
    <w:rsid w:val="009C6183"/>
    <w:rsid w:val="009E4F66"/>
    <w:rsid w:val="009E572A"/>
    <w:rsid w:val="00A02ABE"/>
    <w:rsid w:val="00A05ECD"/>
    <w:rsid w:val="00A157D2"/>
    <w:rsid w:val="00A238B4"/>
    <w:rsid w:val="00A2648F"/>
    <w:rsid w:val="00A57C0A"/>
    <w:rsid w:val="00A60B79"/>
    <w:rsid w:val="00A67B5B"/>
    <w:rsid w:val="00A8574B"/>
    <w:rsid w:val="00A91788"/>
    <w:rsid w:val="00AA21E3"/>
    <w:rsid w:val="00AB5CFE"/>
    <w:rsid w:val="00B076A8"/>
    <w:rsid w:val="00B14C68"/>
    <w:rsid w:val="00B158F4"/>
    <w:rsid w:val="00B43405"/>
    <w:rsid w:val="00B50544"/>
    <w:rsid w:val="00B54E3D"/>
    <w:rsid w:val="00B56023"/>
    <w:rsid w:val="00B625F3"/>
    <w:rsid w:val="00B77CC6"/>
    <w:rsid w:val="00B84CD2"/>
    <w:rsid w:val="00B91580"/>
    <w:rsid w:val="00B92981"/>
    <w:rsid w:val="00BA2235"/>
    <w:rsid w:val="00BC58C0"/>
    <w:rsid w:val="00BD3E4C"/>
    <w:rsid w:val="00BD7625"/>
    <w:rsid w:val="00BE0FD5"/>
    <w:rsid w:val="00BE56B7"/>
    <w:rsid w:val="00BE5CD8"/>
    <w:rsid w:val="00BE656E"/>
    <w:rsid w:val="00C052CA"/>
    <w:rsid w:val="00C11341"/>
    <w:rsid w:val="00C15210"/>
    <w:rsid w:val="00C508F3"/>
    <w:rsid w:val="00C6449F"/>
    <w:rsid w:val="00C73A5B"/>
    <w:rsid w:val="00C9435C"/>
    <w:rsid w:val="00CA2F0A"/>
    <w:rsid w:val="00CA486D"/>
    <w:rsid w:val="00CB3DC4"/>
    <w:rsid w:val="00CD68D5"/>
    <w:rsid w:val="00CF7833"/>
    <w:rsid w:val="00D17EF3"/>
    <w:rsid w:val="00D33230"/>
    <w:rsid w:val="00D51D1D"/>
    <w:rsid w:val="00D7621D"/>
    <w:rsid w:val="00D94140"/>
    <w:rsid w:val="00D950C0"/>
    <w:rsid w:val="00E02E48"/>
    <w:rsid w:val="00E14AEF"/>
    <w:rsid w:val="00E252C9"/>
    <w:rsid w:val="00E36A1D"/>
    <w:rsid w:val="00E46EA2"/>
    <w:rsid w:val="00EB041C"/>
    <w:rsid w:val="00EB280D"/>
    <w:rsid w:val="00EC269D"/>
    <w:rsid w:val="00EE7867"/>
    <w:rsid w:val="00F225E9"/>
    <w:rsid w:val="00F368E5"/>
    <w:rsid w:val="00F657FD"/>
    <w:rsid w:val="00F6606E"/>
    <w:rsid w:val="00FA271D"/>
    <w:rsid w:val="00FA4DED"/>
    <w:rsid w:val="00FA61F4"/>
    <w:rsid w:val="00FB5BD5"/>
    <w:rsid w:val="00FD150B"/>
    <w:rsid w:val="00FF2140"/>
    <w:rsid w:val="00FF537F"/>
  </w:rsids>
  <m:mathPr>
    <m:mathFont m:val="Cambria Math"/>
    <m:brkBin m:val="before"/>
    <m:brkBinSub m:val="--"/>
    <m:smallFrac m:val="0"/>
    <m:dispDef m:val="0"/>
    <m:lMargin m:val="0"/>
    <m:rMargin m:val="0"/>
    <m:defJc m:val="centerGroup"/>
    <m:wrapRight/>
    <m:intLim m:val="subSup"/>
    <m:naryLim m:val="subSup"/>
  </m:mathPr>
  <w:themeFontLang w:val="pt-PT"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FD2DC9"/>
  <w15:chartTrackingRefBased/>
  <w15:docId w15:val="{0C5E463D-342C-3543-A892-33C13F6A9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hAnsi="Times"/>
      <w:sz w:val="24"/>
      <w:lang w:val="en-GB" w:eastAsia="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rsid w:val="002B224A"/>
    <w:pPr>
      <w:tabs>
        <w:tab w:val="center" w:pos="4680"/>
        <w:tab w:val="right" w:pos="9360"/>
      </w:tabs>
    </w:pPr>
  </w:style>
  <w:style w:type="paragraph" w:customStyle="1" w:styleId="AbstractTitle">
    <w:name w:val="Abstract Title"/>
    <w:basedOn w:val="Normal"/>
    <w:autoRedefine/>
    <w:rsid w:val="003560FF"/>
    <w:pPr>
      <w:jc w:val="center"/>
    </w:pPr>
    <w:rPr>
      <w:rFonts w:ascii="Arial" w:hAnsi="Arial" w:cs="Arial"/>
      <w:b/>
      <w:sz w:val="28"/>
      <w:szCs w:val="28"/>
    </w:rPr>
  </w:style>
  <w:style w:type="paragraph" w:customStyle="1" w:styleId="AbstractAuthors">
    <w:name w:val="Abstract Authors"/>
    <w:basedOn w:val="Normal"/>
    <w:autoRedefine/>
    <w:pPr>
      <w:tabs>
        <w:tab w:val="left" w:pos="709"/>
      </w:tabs>
      <w:spacing w:line="360" w:lineRule="auto"/>
      <w:jc w:val="center"/>
    </w:pPr>
    <w:rPr>
      <w:rFonts w:ascii="Times New Roman" w:hAnsi="Times New Roman"/>
    </w:rPr>
  </w:style>
  <w:style w:type="paragraph" w:customStyle="1" w:styleId="AbstractAddress">
    <w:name w:val="Abstract Address"/>
    <w:basedOn w:val="Normal"/>
    <w:autoRedefine/>
    <w:pPr>
      <w:tabs>
        <w:tab w:val="left" w:pos="709"/>
      </w:tabs>
      <w:spacing w:line="360" w:lineRule="auto"/>
      <w:jc w:val="center"/>
    </w:pPr>
    <w:rPr>
      <w:rFonts w:ascii="Times New Roman" w:hAnsi="Times New Roman"/>
    </w:rPr>
  </w:style>
  <w:style w:type="paragraph" w:customStyle="1" w:styleId="AbstractReferences">
    <w:name w:val="Abstract References"/>
    <w:basedOn w:val="Normal"/>
    <w:autoRedefine/>
    <w:rsid w:val="007118B4"/>
    <w:pPr>
      <w:tabs>
        <w:tab w:val="left" w:pos="709"/>
      </w:tabs>
    </w:pPr>
    <w:rPr>
      <w:rFonts w:ascii="Times New Roman" w:hAnsi="Times New Roman"/>
      <w:sz w:val="20"/>
    </w:rPr>
  </w:style>
  <w:style w:type="paragraph" w:customStyle="1" w:styleId="AbstractBody">
    <w:name w:val="Abstract Body"/>
    <w:basedOn w:val="Normal"/>
    <w:autoRedefine/>
    <w:rsid w:val="00A8574B"/>
    <w:pPr>
      <w:tabs>
        <w:tab w:val="left" w:pos="440"/>
      </w:tabs>
      <w:jc w:val="both"/>
    </w:pPr>
    <w:rPr>
      <w:rFonts w:ascii="Times New Roman" w:hAnsi="Times New Roman"/>
      <w:szCs w:val="24"/>
    </w:rPr>
  </w:style>
  <w:style w:type="character" w:customStyle="1" w:styleId="CabealhoCarter">
    <w:name w:val="Cabeçalho Caráter"/>
    <w:link w:val="Cabealho"/>
    <w:uiPriority w:val="99"/>
    <w:rsid w:val="002B224A"/>
    <w:rPr>
      <w:rFonts w:ascii="Times" w:hAnsi="Times"/>
      <w:sz w:val="24"/>
      <w:lang w:val="en-US" w:eastAsia="en-US"/>
    </w:rPr>
  </w:style>
  <w:style w:type="paragraph" w:styleId="Rodap">
    <w:name w:val="footer"/>
    <w:basedOn w:val="Normal"/>
    <w:link w:val="RodapCarter"/>
    <w:rsid w:val="002B224A"/>
    <w:pPr>
      <w:tabs>
        <w:tab w:val="center" w:pos="4680"/>
        <w:tab w:val="right" w:pos="9360"/>
      </w:tabs>
    </w:pPr>
  </w:style>
  <w:style w:type="character" w:customStyle="1" w:styleId="RodapCarter">
    <w:name w:val="Rodapé Caráter"/>
    <w:link w:val="Rodap"/>
    <w:rsid w:val="002B224A"/>
    <w:rPr>
      <w:rFonts w:ascii="Times" w:hAnsi="Times"/>
      <w:sz w:val="24"/>
      <w:lang w:val="en-US" w:eastAsia="en-US"/>
    </w:rPr>
  </w:style>
  <w:style w:type="character" w:styleId="Forte">
    <w:name w:val="Strong"/>
    <w:uiPriority w:val="22"/>
    <w:qFormat/>
    <w:rsid w:val="004B0895"/>
    <w:rPr>
      <w:b/>
      <w:bCs/>
    </w:rPr>
  </w:style>
  <w:style w:type="character" w:customStyle="1" w:styleId="addmd">
    <w:name w:val="addmd"/>
    <w:rsid w:val="0004095B"/>
  </w:style>
  <w:style w:type="paragraph" w:styleId="PargrafodaLista">
    <w:name w:val="List Paragraph"/>
    <w:basedOn w:val="Normal"/>
    <w:uiPriority w:val="72"/>
    <w:qFormat/>
    <w:rsid w:val="00B625F3"/>
    <w:pPr>
      <w:ind w:left="720"/>
      <w:contextualSpacing/>
    </w:pPr>
  </w:style>
  <w:style w:type="character" w:styleId="Hiperligao">
    <w:name w:val="Hyperlink"/>
    <w:basedOn w:val="Tipodeletrapredefinidodopargrafo"/>
    <w:uiPriority w:val="99"/>
    <w:unhideWhenUsed/>
    <w:rsid w:val="00A57C0A"/>
    <w:rPr>
      <w:color w:val="0563C1" w:themeColor="hyperlink"/>
      <w:u w:val="single"/>
    </w:rPr>
  </w:style>
  <w:style w:type="paragraph" w:customStyle="1" w:styleId="AuthorsandAffiliation">
    <w:name w:val="Authors and Affiliation"/>
    <w:basedOn w:val="Normal"/>
    <w:link w:val="AuthorsandAffiliationChar"/>
    <w:qFormat/>
    <w:rsid w:val="00E14AEF"/>
    <w:pPr>
      <w:jc w:val="center"/>
    </w:pPr>
    <w:rPr>
      <w:rFonts w:asciiTheme="majorHAnsi" w:eastAsiaTheme="minorHAnsi" w:hAnsiTheme="majorHAnsi" w:cstheme="majorHAnsi"/>
      <w:i/>
      <w:sz w:val="20"/>
    </w:rPr>
  </w:style>
  <w:style w:type="character" w:customStyle="1" w:styleId="AuthorsandAffiliationChar">
    <w:name w:val="Authors and Affiliation Char"/>
    <w:basedOn w:val="Tipodeletrapredefinidodopargrafo"/>
    <w:link w:val="AuthorsandAffiliation"/>
    <w:rsid w:val="00E14AEF"/>
    <w:rPr>
      <w:rFonts w:asciiTheme="majorHAnsi" w:eastAsiaTheme="minorHAnsi" w:hAnsiTheme="majorHAnsi" w:cstheme="majorHAnsi"/>
      <w:i/>
      <w:lang w:val="en-US" w:eastAsia="en-US"/>
    </w:rPr>
  </w:style>
  <w:style w:type="character" w:styleId="TextodoMarcadordePosio">
    <w:name w:val="Placeholder Text"/>
    <w:basedOn w:val="Tipodeletrapredefinidodopargrafo"/>
    <w:uiPriority w:val="99"/>
    <w:unhideWhenUsed/>
    <w:rsid w:val="000D07B6"/>
    <w:rPr>
      <w:color w:val="666666"/>
    </w:rPr>
  </w:style>
  <w:style w:type="character" w:styleId="MenoNoResolvida">
    <w:name w:val="Unresolved Mention"/>
    <w:basedOn w:val="Tipodeletrapredefinidodopargrafo"/>
    <w:uiPriority w:val="99"/>
    <w:semiHidden/>
    <w:unhideWhenUsed/>
    <w:rsid w:val="00523B57"/>
    <w:rPr>
      <w:color w:val="605E5C"/>
      <w:shd w:val="clear" w:color="auto" w:fill="E1DFDD"/>
    </w:rPr>
  </w:style>
  <w:style w:type="paragraph" w:styleId="Bibliografia">
    <w:name w:val="Bibliography"/>
    <w:basedOn w:val="Normal"/>
    <w:next w:val="Normal"/>
    <w:uiPriority w:val="70"/>
    <w:unhideWhenUsed/>
    <w:rsid w:val="007B71E6"/>
    <w:pPr>
      <w:tabs>
        <w:tab w:val="left" w:pos="384"/>
      </w:tabs>
      <w:ind w:left="384" w:hanging="384"/>
    </w:pPr>
  </w:style>
  <w:style w:type="paragraph" w:styleId="Legenda">
    <w:name w:val="caption"/>
    <w:basedOn w:val="Normal"/>
    <w:next w:val="Normal"/>
    <w:unhideWhenUsed/>
    <w:qFormat/>
    <w:rsid w:val="00BE0FD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207340">
      <w:bodyDiv w:val="1"/>
      <w:marLeft w:val="0"/>
      <w:marRight w:val="0"/>
      <w:marTop w:val="0"/>
      <w:marBottom w:val="0"/>
      <w:divBdr>
        <w:top w:val="none" w:sz="0" w:space="0" w:color="auto"/>
        <w:left w:val="none" w:sz="0" w:space="0" w:color="auto"/>
        <w:bottom w:val="none" w:sz="0" w:space="0" w:color="auto"/>
        <w:right w:val="none" w:sz="0" w:space="0" w:color="auto"/>
      </w:divBdr>
    </w:div>
    <w:div w:id="289827800">
      <w:bodyDiv w:val="1"/>
      <w:marLeft w:val="0"/>
      <w:marRight w:val="0"/>
      <w:marTop w:val="0"/>
      <w:marBottom w:val="0"/>
      <w:divBdr>
        <w:top w:val="none" w:sz="0" w:space="0" w:color="auto"/>
        <w:left w:val="none" w:sz="0" w:space="0" w:color="auto"/>
        <w:bottom w:val="none" w:sz="0" w:space="0" w:color="auto"/>
        <w:right w:val="none" w:sz="0" w:space="0" w:color="auto"/>
      </w:divBdr>
    </w:div>
    <w:div w:id="566569883">
      <w:bodyDiv w:val="1"/>
      <w:marLeft w:val="0"/>
      <w:marRight w:val="0"/>
      <w:marTop w:val="0"/>
      <w:marBottom w:val="0"/>
      <w:divBdr>
        <w:top w:val="none" w:sz="0" w:space="0" w:color="auto"/>
        <w:left w:val="none" w:sz="0" w:space="0" w:color="auto"/>
        <w:bottom w:val="none" w:sz="0" w:space="0" w:color="auto"/>
        <w:right w:val="none" w:sz="0" w:space="0" w:color="auto"/>
      </w:divBdr>
    </w:div>
    <w:div w:id="836068107">
      <w:bodyDiv w:val="1"/>
      <w:marLeft w:val="0"/>
      <w:marRight w:val="0"/>
      <w:marTop w:val="0"/>
      <w:marBottom w:val="0"/>
      <w:divBdr>
        <w:top w:val="none" w:sz="0" w:space="0" w:color="auto"/>
        <w:left w:val="none" w:sz="0" w:space="0" w:color="auto"/>
        <w:bottom w:val="none" w:sz="0" w:space="0" w:color="auto"/>
        <w:right w:val="none" w:sz="0" w:space="0" w:color="auto"/>
      </w:divBdr>
    </w:div>
    <w:div w:id="893929377">
      <w:bodyDiv w:val="1"/>
      <w:marLeft w:val="0"/>
      <w:marRight w:val="0"/>
      <w:marTop w:val="0"/>
      <w:marBottom w:val="0"/>
      <w:divBdr>
        <w:top w:val="none" w:sz="0" w:space="0" w:color="auto"/>
        <w:left w:val="none" w:sz="0" w:space="0" w:color="auto"/>
        <w:bottom w:val="none" w:sz="0" w:space="0" w:color="auto"/>
        <w:right w:val="none" w:sz="0" w:space="0" w:color="auto"/>
      </w:divBdr>
      <w:divsChild>
        <w:div w:id="1737043380">
          <w:marLeft w:val="640"/>
          <w:marRight w:val="0"/>
          <w:marTop w:val="0"/>
          <w:marBottom w:val="0"/>
          <w:divBdr>
            <w:top w:val="none" w:sz="0" w:space="0" w:color="auto"/>
            <w:left w:val="none" w:sz="0" w:space="0" w:color="auto"/>
            <w:bottom w:val="none" w:sz="0" w:space="0" w:color="auto"/>
            <w:right w:val="none" w:sz="0" w:space="0" w:color="auto"/>
          </w:divBdr>
        </w:div>
        <w:div w:id="1431199778">
          <w:marLeft w:val="640"/>
          <w:marRight w:val="0"/>
          <w:marTop w:val="0"/>
          <w:marBottom w:val="0"/>
          <w:divBdr>
            <w:top w:val="none" w:sz="0" w:space="0" w:color="auto"/>
            <w:left w:val="none" w:sz="0" w:space="0" w:color="auto"/>
            <w:bottom w:val="none" w:sz="0" w:space="0" w:color="auto"/>
            <w:right w:val="none" w:sz="0" w:space="0" w:color="auto"/>
          </w:divBdr>
        </w:div>
        <w:div w:id="537596151">
          <w:marLeft w:val="640"/>
          <w:marRight w:val="0"/>
          <w:marTop w:val="0"/>
          <w:marBottom w:val="0"/>
          <w:divBdr>
            <w:top w:val="none" w:sz="0" w:space="0" w:color="auto"/>
            <w:left w:val="none" w:sz="0" w:space="0" w:color="auto"/>
            <w:bottom w:val="none" w:sz="0" w:space="0" w:color="auto"/>
            <w:right w:val="none" w:sz="0" w:space="0" w:color="auto"/>
          </w:divBdr>
        </w:div>
        <w:div w:id="152569658">
          <w:marLeft w:val="640"/>
          <w:marRight w:val="0"/>
          <w:marTop w:val="0"/>
          <w:marBottom w:val="0"/>
          <w:divBdr>
            <w:top w:val="none" w:sz="0" w:space="0" w:color="auto"/>
            <w:left w:val="none" w:sz="0" w:space="0" w:color="auto"/>
            <w:bottom w:val="none" w:sz="0" w:space="0" w:color="auto"/>
            <w:right w:val="none" w:sz="0" w:space="0" w:color="auto"/>
          </w:divBdr>
        </w:div>
      </w:divsChild>
    </w:div>
    <w:div w:id="1049500999">
      <w:bodyDiv w:val="1"/>
      <w:marLeft w:val="0"/>
      <w:marRight w:val="0"/>
      <w:marTop w:val="0"/>
      <w:marBottom w:val="0"/>
      <w:divBdr>
        <w:top w:val="none" w:sz="0" w:space="0" w:color="auto"/>
        <w:left w:val="none" w:sz="0" w:space="0" w:color="auto"/>
        <w:bottom w:val="none" w:sz="0" w:space="0" w:color="auto"/>
        <w:right w:val="none" w:sz="0" w:space="0" w:color="auto"/>
      </w:divBdr>
      <w:divsChild>
        <w:div w:id="1995572476">
          <w:marLeft w:val="640"/>
          <w:marRight w:val="0"/>
          <w:marTop w:val="0"/>
          <w:marBottom w:val="0"/>
          <w:divBdr>
            <w:top w:val="none" w:sz="0" w:space="0" w:color="auto"/>
            <w:left w:val="none" w:sz="0" w:space="0" w:color="auto"/>
            <w:bottom w:val="none" w:sz="0" w:space="0" w:color="auto"/>
            <w:right w:val="none" w:sz="0" w:space="0" w:color="auto"/>
          </w:divBdr>
        </w:div>
        <w:div w:id="1112212344">
          <w:marLeft w:val="640"/>
          <w:marRight w:val="0"/>
          <w:marTop w:val="0"/>
          <w:marBottom w:val="0"/>
          <w:divBdr>
            <w:top w:val="none" w:sz="0" w:space="0" w:color="auto"/>
            <w:left w:val="none" w:sz="0" w:space="0" w:color="auto"/>
            <w:bottom w:val="none" w:sz="0" w:space="0" w:color="auto"/>
            <w:right w:val="none" w:sz="0" w:space="0" w:color="auto"/>
          </w:divBdr>
        </w:div>
        <w:div w:id="466709063">
          <w:marLeft w:val="640"/>
          <w:marRight w:val="0"/>
          <w:marTop w:val="0"/>
          <w:marBottom w:val="0"/>
          <w:divBdr>
            <w:top w:val="none" w:sz="0" w:space="0" w:color="auto"/>
            <w:left w:val="none" w:sz="0" w:space="0" w:color="auto"/>
            <w:bottom w:val="none" w:sz="0" w:space="0" w:color="auto"/>
            <w:right w:val="none" w:sz="0" w:space="0" w:color="auto"/>
          </w:divBdr>
        </w:div>
      </w:divsChild>
    </w:div>
    <w:div w:id="1810629481">
      <w:bodyDiv w:val="1"/>
      <w:marLeft w:val="0"/>
      <w:marRight w:val="0"/>
      <w:marTop w:val="0"/>
      <w:marBottom w:val="0"/>
      <w:divBdr>
        <w:top w:val="none" w:sz="0" w:space="0" w:color="auto"/>
        <w:left w:val="none" w:sz="0" w:space="0" w:color="auto"/>
        <w:bottom w:val="none" w:sz="0" w:space="0" w:color="auto"/>
        <w:right w:val="none" w:sz="0" w:space="0" w:color="auto"/>
      </w:divBdr>
      <w:divsChild>
        <w:div w:id="1435859778">
          <w:marLeft w:val="640"/>
          <w:marRight w:val="0"/>
          <w:marTop w:val="0"/>
          <w:marBottom w:val="0"/>
          <w:divBdr>
            <w:top w:val="none" w:sz="0" w:space="0" w:color="auto"/>
            <w:left w:val="none" w:sz="0" w:space="0" w:color="auto"/>
            <w:bottom w:val="none" w:sz="0" w:space="0" w:color="auto"/>
            <w:right w:val="none" w:sz="0" w:space="0" w:color="auto"/>
          </w:divBdr>
        </w:div>
        <w:div w:id="367343755">
          <w:marLeft w:val="640"/>
          <w:marRight w:val="0"/>
          <w:marTop w:val="0"/>
          <w:marBottom w:val="0"/>
          <w:divBdr>
            <w:top w:val="none" w:sz="0" w:space="0" w:color="auto"/>
            <w:left w:val="none" w:sz="0" w:space="0" w:color="auto"/>
            <w:bottom w:val="none" w:sz="0" w:space="0" w:color="auto"/>
            <w:right w:val="none" w:sz="0" w:space="0" w:color="auto"/>
          </w:divBdr>
        </w:div>
        <w:div w:id="2081518937">
          <w:marLeft w:val="640"/>
          <w:marRight w:val="0"/>
          <w:marTop w:val="0"/>
          <w:marBottom w:val="0"/>
          <w:divBdr>
            <w:top w:val="none" w:sz="0" w:space="0" w:color="auto"/>
            <w:left w:val="none" w:sz="0" w:space="0" w:color="auto"/>
            <w:bottom w:val="none" w:sz="0" w:space="0" w:color="auto"/>
            <w:right w:val="none" w:sz="0" w:space="0" w:color="auto"/>
          </w:divBdr>
        </w:div>
        <w:div w:id="1948582350">
          <w:marLeft w:val="640"/>
          <w:marRight w:val="0"/>
          <w:marTop w:val="0"/>
          <w:marBottom w:val="0"/>
          <w:divBdr>
            <w:top w:val="none" w:sz="0" w:space="0" w:color="auto"/>
            <w:left w:val="none" w:sz="0" w:space="0" w:color="auto"/>
            <w:bottom w:val="none" w:sz="0" w:space="0" w:color="auto"/>
            <w:right w:val="none" w:sz="0" w:space="0" w:color="auto"/>
          </w:divBdr>
        </w:div>
      </w:divsChild>
    </w:div>
    <w:div w:id="2128117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arlospinto@ua.p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jorgesaraiva@ua.p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Jens\Eigene%20Dateien\EUROBIC%207\abstract_template_EUROBIC7.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98B9FD0-7651-4BAF-AC1A-560EFE4B75DD}">
  <we:reference id="wa104382081" version="1.55.1.0" store="en-GB" storeType="OMEX"/>
  <we:alternateReferences>
    <we:reference id="WA104382081" version="1.55.1.0" store="" storeType="OMEX"/>
  </we:alternateReferences>
  <we:properties>
    <we:property name="MENDELEY_CITATIONS" value="[{&quot;citationID&quot;:&quot;MENDELEY_CITATION_4e480074-3fc4-4308-a678-a19d063d0ac5&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&quot;,&quot;citationItems&quot;:[{&quot;id&quot;:&quot;b2880ba0-3ec2-3f4a-8bb4-b92823ce8688&quot;,&quot;itemData&quot;:{&quot;type&quot;:&quot;article-journal&quot;,&quot;id&quot;:&quot;b2880ba0-3ec2-3f4a-8bb4-b92823ce8688&quot;,&quot;title&quot;:&quot;Potential of electric and pressure-based techniques for the inactivation of microorganisms in fresh fish&quot;,&quot;author&quot;:[{&quot;family&quot;:&quot;Mousakhani Ganjeh&quot;,&quot;given&quot;:&quot;Alireza&quot;,&quot;parse-names&quot;:false,&quot;dropping-particle&quot;:&quot;&quot;,&quot;non-dropping-particle&quot;:&quot;&quot;},{&quot;family&quot;:&quot;Pinto&quot;,&quot;given&quot;:&quot;Carlos A.&quot;,&quot;parse-names&quot;:false,&quot;dropping-particle&quot;:&quot;&quot;,&quot;non-dropping-particle&quot;:&quot;&quot;},{&quot;family&quot;:&quot;Casal&quot;,&quot;given&quot;:&quot;Susana&quot;,&quot;parse-names&quot;:false,&quot;dropping-particle&quot;:&quot;&quot;,&quot;non-dropping-particle&quot;:&quot;&quot;},{&quot;family&quot;:&quot;Saraiva&quot;,&quot;given&quot;:&quot;Jorge A.&quot;,&quot;parse-names&quot;:false,&quot;dropping-particle&quot;:&quot;&quot;,&quot;non-dropping-particle&quot;:&quot;&quot;}],&quot;container-title&quot;:&quot;Food Bioscience&quot;,&quot;container-title-short&quot;:&quot;Food Biosci&quot;,&quot;DOI&quot;:&quot;10.1016/j.fbio.2024.104537&quot;,&quot;ISSN&quot;:&quot;22124292&quot;,&quot;issued&quot;:{&quot;date-parts&quot;:[[2024,10]]},&quot;page&quot;:&quot;104537&quot;,&quot;volume&quot;:&quot;61&quot;},&quot;isTemporary&quot;:false}]},{&quot;citationID&quot;:&quot;MENDELEY_CITATION_0f7a258a-2427-41a2-9828-99d96c27d5d5&quot;,&quot;properties&quot;:{&quot;noteIndex&quot;:0},&quot;isEdited&quot;:false,&quot;manualOverride&quot;:{&quot;isManuallyOverridden&quot;:false,&quot;citeprocText&quot;:&quot;&lt;sup&gt;2,3&lt;/sup&gt;&quot;,&quot;manualOverrideText&quot;:&quot;&quot;},&quot;citationItems&quot;:[{&quot;id&quot;:&quot;55055dbb-f0f0-3e07-988e-5504590d951c&quot;,&quot;itemData&quot;:{&quot;type&quot;:&quot;article-journal&quot;,&quot;id&quot;:&quot;55055dbb-f0f0-3e07-988e-5504590d951c&quot;,&quot;title&quot;:&quot;The effects of pressure-based processing technologies on protein oxidation&quot;,&quot;author&quot;:[{&quot;family&quot;:&quot;Ganjeh&quot;,&quot;given&quot;:&quot;Alireza Mousakhani&quot;,&quot;parse-names&quot;:false,&quot;dropping-particle&quot;:&quot;&quot;,&quot;non-dropping-particle&quot;:&quot;&quot;},{&quot;family&quot;:&quot;Pinto&quot;,&quot;given&quot;:&quot;Carlos A.&quot;,&quot;parse-names&quot;:false,&quot;dropping-particle&quot;:&quot;&quot;,&quot;non-dropping-particle&quot;:&quot;&quot;},{&quot;family&quot;:&quot;Casal&quot;,&quot;given&quot;:&quot;Susana&quot;,&quot;parse-names&quot;:false,&quot;dropping-particle&quot;:&quot;&quot;,&quot;non-dropping-particle&quot;:&quot;&quot;},{&quot;family&quot;:&quot;Saraiva&quot;,&quot;given&quot;:&quot;Jorge A.&quot;,&quot;parse-names&quot;:false,&quot;dropping-particle&quot;:&quot;&quot;,&quot;non-dropping-particle&quot;:&quot;&quot;}],&quot;container-title&quot;:&quot;Food Bioscience&quot;,&quot;container-title-short&quot;:&quot;Food Biosci&quot;,&quot;DOI&quot;:&quot;10.1016/j.fbio.2024.103963&quot;,&quot;ISSN&quot;:&quot;22124292&quot;,&quot;issued&quot;:{&quot;date-parts&quot;:[[2024,6]]},&quot;page&quot;:&quot;103963&quot;,&quot;volume&quot;:&quot;59&quot;},&quot;isTemporary&quot;:false},{&quot;id&quot;:&quot;c27cc91d-b4b3-3ab2-a851-6d5d8eeb47ef&quot;,&quot;itemData&quot;:{&quot;type&quot;:&quot;article-journal&quot;,&quot;id&quot;:&quot;c27cc91d-b4b3-3ab2-a851-6d5d8eeb47ef&quot;,&quot;title&quot;:&quot;Effects of pressure-based technologies on food lipids oxidation&quot;,&quot;author&quot;:[{&quot;family&quot;:&quot;Ganjeh&quot;,&quot;given&quot;:&quot;Alireza Mousakhani&quot;,&quot;parse-names&quot;:false,&quot;dropping-particle&quot;:&quot;&quot;,&quot;non-dropping-particle&quot;:&quot;&quot;},{&quot;family&quot;:&quot;Gomes&quot;,&quot;given&quot;:&quot;Alexandrina&quot;,&quot;parse-names&quot;:false,&quot;dropping-particle&quot;:&quot;&quot;,&quot;non-dropping-particle&quot;:&quot;&quot;},{&quot;family&quot;:&quot;Barreira&quot;,&quot;given&quot;:&quot;Maria João&quot;,&quot;parse-names&quot;:false,&quot;dropping-particle&quot;:&quot;&quot;,&quot;non-dropping-particle&quot;:&quot;&quot;},{&quot;family&quot;:&quot;Pinto&quot;,&quot;given&quot;:&quot;Carlos A.&quot;,&quot;parse-names&quot;:false,&quot;dropping-particle&quot;:&quot;&quot;,&quot;non-dropping-particle&quot;:&quot;&quot;},{&quot;family&quot;:&quot;Casal&quot;,&quot;given&quot;:&quot;Susana&quot;,&quot;parse-names&quot;:false,&quot;dropping-particle&quot;:&quot;&quot;,&quot;non-dropping-particle&quot;:&quot;&quot;},{&quot;family&quot;:&quot;Saraiva&quot;,&quot;given&quot;:&quot;Jorge A.&quot;,&quot;parse-names&quot;:false,&quot;dropping-particle&quot;:&quot;&quot;,&quot;non-dropping-particle&quot;:&quot;&quot;}],&quot;container-title&quot;:&quot;Food Chemistry&quot;,&quot;container-title-short&quot;:&quot;Food Chem&quot;,&quot;DOI&quot;:&quot;10.1016/j.foodchem.2024.140768&quot;,&quot;ISSN&quot;:&quot;03088146&quot;,&quot;issued&quot;:{&quot;date-parts&quot;:[[2024,12]]},&quot;page&quot;:&quot;140768&quot;,&quot;volume&quot;:&quot;461&quot;},&quot;isTemporary&quot;:false}],&quot;citationTag&quot;:&quot;MENDELEY_CITATION_v3_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&quot;},{&quot;citationID&quot;:&quot;MENDELEY_CITATION_d2e54164-8483-4dff-9e06-2e7f5809c503&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&quot;,&quot;citationItems&quot;:[{&quot;id&quot;:&quot;fa710a3d-405e-3364-91bb-aabba514f6c5&quot;,&quot;itemData&quot;:{&quot;type&quot;:&quot;article-journal&quot;,&quot;id&quot;:&quot;fa710a3d-405e-3364-91bb-aabba514f6c5&quot;,&quot;title&quot;:&quot;Oxygen scavengers for food packaging applications: A review&quot;,&quot;author&quot;:[{&quot;family&quot;:&quot;Dey&quot;,&quot;given&quot;:&quot;Aishee&quot;,&quot;parse-names&quot;:false,&quot;dropping-particle&quot;:&quot;&quot;,&quot;non-dropping-particle&quot;:&quot;&quot;},{&quot;family&quot;:&quot;Neogi&quot;,&quot;given&quot;:&quot;Sudarsan&quot;,&quot;parse-names&quot;:false,&quot;dropping-particle&quot;:&quot;&quot;,&quot;non-dropping-particle&quot;:&quot;&quot;}],&quot;container-title&quot;:&quot;Trends in Food Science &amp; Technology&quot;,&quot;container-title-short&quot;:&quot;Trends Food Sci Technol&quot;,&quot;DOI&quot;:&quot;10.1016/j.tifs.2019.05.013&quot;,&quot;ISSN&quot;:&quot;09242244&quot;,&quot;issued&quot;:{&quot;date-parts&quot;:[[2019,8]]},&quot;page&quot;:&quot;26-34&quot;,&quot;volume&quot;:&quot;90&quot;},&quot;isTemporary&quot;:false}]}]"/>
    <we:property name="MENDELEY_CITATIONS_LOCALE_CODE" value="&quot;en-US&quot;"/>
    <we:property name="MENDELEY_CITATIONS_STYLE" value="{&quot;id&quot;:&quot;https://www.zotero.org/styles/acs-applied-energy-materials&quot;,&quot;title&quot;:&quot;ACS Applied Energy Material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1753A-16DC-45CD-A14F-30B2DFB74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abstract_template_EUROBIC7</Template>
  <TotalTime>5</TotalTime>
  <Pages>2</Pages>
  <Words>1874</Words>
  <Characters>10685</Characters>
  <Application>Microsoft Office Word</Application>
  <DocSecurity>0</DocSecurity>
  <Lines>89</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Abstract Template EUROBIC7</vt:lpstr>
      <vt:lpstr>Abstract Template EUROBIC7</vt:lpstr>
    </vt:vector>
  </TitlesOfParts>
  <Company>University of Dortmund</Company>
  <LinksUpToDate>false</LinksUpToDate>
  <CharactersWithSpaces>12534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 Template EUROBIC7</dc:title>
  <dc:subject/>
  <dc:creator>Jens Müller</dc:creator>
  <cp:keywords/>
  <cp:lastModifiedBy>Carlos Pinto</cp:lastModifiedBy>
  <cp:revision>10</cp:revision>
  <cp:lastPrinted>1900-01-01T00:36:00Z</cp:lastPrinted>
  <dcterms:created xsi:type="dcterms:W3CDTF">2026-03-08T16:54:00Z</dcterms:created>
  <dcterms:modified xsi:type="dcterms:W3CDTF">2026-03-08T17:01:00Z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4cd28a75-bd2c-4b7a-aeb0-ca6fafa9e681</vt:lpwstr>
  </property>
  <property fmtid="{D5CDD505-2E9C-101B-9397-08002B2CF9AE}" pid="3" name="ZOTERO_PREF_1">
    <vt:lpwstr>&lt;data data-version="3" zotero-version="6.0.36"&gt;&lt;session id="Z5ZQ1Txo"/&gt;&lt;style id="http://www.zotero.org/styles/american-chemical-society" hasBibliography="1" bibliographyStyleHasBeenSet="1"/&gt;&lt;prefs&gt;&lt;pref name="fieldType" value="Field"/&gt;&lt;/prefs&gt;&lt;/data&gt;</vt:lpwstr>
  </property>
</Properties>
</file>